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3B7B" w14:textId="4F32210B" w:rsidR="00562AFB" w:rsidRPr="00562AFB" w:rsidRDefault="00141E09">
      <w:pPr>
        <w:rPr>
          <w:rFonts w:cstheme="minorHAnsi"/>
          <w:b/>
          <w:bCs/>
          <w:sz w:val="28"/>
          <w:szCs w:val="28"/>
        </w:rPr>
      </w:pPr>
      <w:r w:rsidRPr="00AB0546">
        <w:rPr>
          <w:rFonts w:ascii="Trade Gothic LT Std Cn" w:hAnsi="Trade Gothic LT Std Cn"/>
          <w:b/>
          <w:bCs/>
          <w:color w:val="2F5496" w:themeColor="accent1" w:themeShade="BF"/>
          <w:sz w:val="36"/>
          <w:szCs w:val="36"/>
        </w:rPr>
        <w:t>PERSPECTIV</w:t>
      </w:r>
      <w:r>
        <w:rPr>
          <w:rFonts w:ascii="Trade Gothic LT Std Cn" w:hAnsi="Trade Gothic LT Std Cn"/>
          <w:b/>
          <w:bCs/>
          <w:color w:val="2F5496" w:themeColor="accent1" w:themeShade="BF"/>
          <w:sz w:val="36"/>
          <w:szCs w:val="36"/>
        </w:rPr>
        <w:t>E: SUPREM</w:t>
      </w:r>
      <w:r w:rsidRPr="00AB0546">
        <w:rPr>
          <w:rFonts w:ascii="Trade Gothic LT Std Cn" w:hAnsi="Trade Gothic LT Std Cn"/>
          <w:b/>
          <w:bCs/>
          <w:color w:val="2F5496" w:themeColor="accent1" w:themeShade="BF"/>
          <w:sz w:val="36"/>
          <w:szCs w:val="36"/>
        </w:rPr>
        <w:t>E</w:t>
      </w:r>
      <w:r>
        <w:rPr>
          <w:rFonts w:ascii="Trade Gothic LT Std Cn" w:hAnsi="Trade Gothic LT Std Cn"/>
          <w:b/>
          <w:bCs/>
          <w:color w:val="2F5496" w:themeColor="accent1" w:themeShade="BF"/>
          <w:sz w:val="36"/>
          <w:szCs w:val="36"/>
        </w:rPr>
        <w:t xml:space="preserve"> COURT SIDES WITH FIRST AMENDMENT FREEDOMS, BUT QUESTIONS LINGER</w:t>
      </w:r>
    </w:p>
    <w:p w14:paraId="7D533E65" w14:textId="032895F1" w:rsidR="00EA1AB5" w:rsidRPr="00141E09" w:rsidRDefault="00E575DD">
      <w:pPr>
        <w:rPr>
          <w:rFonts w:ascii="Brandon Grotesque Regular" w:hAnsi="Brandon Grotesque Regular"/>
          <w:i/>
        </w:rPr>
      </w:pPr>
      <w:r w:rsidRPr="00141E09">
        <w:rPr>
          <w:rFonts w:ascii="Brandon Grotesque Regular" w:hAnsi="Brandon Grotesque Regular" w:cstheme="minorHAnsi"/>
          <w:i/>
          <w:iCs/>
        </w:rPr>
        <w:t>By Freedom Forum staff, w</w:t>
      </w:r>
      <w:r w:rsidR="003341D6" w:rsidRPr="00141E09">
        <w:rPr>
          <w:rFonts w:ascii="Brandon Grotesque Regular" w:hAnsi="Brandon Grotesque Regular" w:cstheme="minorHAnsi"/>
          <w:i/>
          <w:iCs/>
        </w:rPr>
        <w:t xml:space="preserve">ith </w:t>
      </w:r>
      <w:r w:rsidR="00B32AD8" w:rsidRPr="00141E09">
        <w:rPr>
          <w:rFonts w:ascii="Brandon Grotesque Regular" w:hAnsi="Brandon Grotesque Regular" w:cstheme="minorHAnsi"/>
          <w:i/>
          <w:iCs/>
        </w:rPr>
        <w:t>Gene Policinski</w:t>
      </w:r>
      <w:r w:rsidR="002C11D2" w:rsidRPr="00141E09">
        <w:rPr>
          <w:rFonts w:ascii="Brandon Grotesque Regular" w:hAnsi="Brandon Grotesque Regular" w:cstheme="minorHAnsi"/>
          <w:i/>
          <w:iCs/>
        </w:rPr>
        <w:t xml:space="preserve">, </w:t>
      </w:r>
      <w:r w:rsidR="00577096" w:rsidRPr="00141E09">
        <w:rPr>
          <w:rFonts w:ascii="Brandon Grotesque Regular" w:hAnsi="Brandon Grotesque Regular" w:cstheme="minorHAnsi"/>
          <w:i/>
          <w:iCs/>
        </w:rPr>
        <w:t xml:space="preserve">Freedom Forum </w:t>
      </w:r>
      <w:r w:rsidR="00CC6373" w:rsidRPr="00141E09">
        <w:rPr>
          <w:rFonts w:ascii="Brandon Grotesque Regular" w:hAnsi="Brandon Grotesque Regular" w:cstheme="minorHAnsi"/>
          <w:i/>
          <w:iCs/>
        </w:rPr>
        <w:t>s</w:t>
      </w:r>
      <w:r w:rsidR="00577096" w:rsidRPr="00141E09">
        <w:rPr>
          <w:rFonts w:ascii="Brandon Grotesque Regular" w:hAnsi="Brandon Grotesque Regular" w:cstheme="minorHAnsi"/>
          <w:i/>
          <w:iCs/>
        </w:rPr>
        <w:t xml:space="preserve">enior </w:t>
      </w:r>
      <w:r w:rsidR="00CC6373" w:rsidRPr="00141E09">
        <w:rPr>
          <w:rFonts w:ascii="Brandon Grotesque Regular" w:hAnsi="Brandon Grotesque Regular" w:cstheme="minorHAnsi"/>
          <w:i/>
          <w:iCs/>
        </w:rPr>
        <w:t>f</w:t>
      </w:r>
      <w:r w:rsidR="00577096" w:rsidRPr="00141E09">
        <w:rPr>
          <w:rFonts w:ascii="Brandon Grotesque Regular" w:hAnsi="Brandon Grotesque Regular" w:cstheme="minorHAnsi"/>
          <w:i/>
          <w:iCs/>
        </w:rPr>
        <w:t>ellow for the First Amendment</w:t>
      </w:r>
      <w:r w:rsidR="00CC6373" w:rsidRPr="00141E09">
        <w:rPr>
          <w:rFonts w:ascii="Brandon Grotesque Regular" w:hAnsi="Brandon Grotesque Regular" w:cstheme="minorHAnsi"/>
          <w:i/>
          <w:iCs/>
        </w:rPr>
        <w:t>,</w:t>
      </w:r>
      <w:r w:rsidR="003341D6" w:rsidRPr="00141E09">
        <w:rPr>
          <w:rFonts w:ascii="Brandon Grotesque Regular" w:hAnsi="Brandon Grotesque Regular" w:cstheme="minorHAnsi"/>
          <w:i/>
          <w:iCs/>
        </w:rPr>
        <w:t xml:space="preserve"> and</w:t>
      </w:r>
      <w:r w:rsidR="002C11D2" w:rsidRPr="00141E09">
        <w:rPr>
          <w:rFonts w:ascii="Brandon Grotesque Regular" w:hAnsi="Brandon Grotesque Regular" w:cstheme="minorHAnsi"/>
          <w:i/>
          <w:iCs/>
        </w:rPr>
        <w:t xml:space="preserve"> Tony Mauro, special correspondent for the Freedom Forum</w:t>
      </w:r>
    </w:p>
    <w:p w14:paraId="45EB77A6" w14:textId="543E0448" w:rsidR="00B32AD8" w:rsidRPr="00141E09" w:rsidRDefault="00864A8C">
      <w:pPr>
        <w:rPr>
          <w:rFonts w:ascii="Brandon Grotesque Regular" w:hAnsi="Brandon Grotesque Regular" w:cstheme="minorHAnsi"/>
        </w:rPr>
      </w:pPr>
      <w:r w:rsidRPr="00141E09">
        <w:rPr>
          <w:rFonts w:ascii="Brandon Grotesque Regular" w:hAnsi="Brandon Grotesque Regular" w:cstheme="minorHAnsi"/>
        </w:rPr>
        <w:t xml:space="preserve">Significant </w:t>
      </w:r>
      <w:r w:rsidR="00E54C2F" w:rsidRPr="00141E09">
        <w:rPr>
          <w:rFonts w:ascii="Brandon Grotesque Regular" w:hAnsi="Brandon Grotesque Regular" w:cstheme="minorHAnsi"/>
        </w:rPr>
        <w:t xml:space="preserve">First Amendment cases involving </w:t>
      </w:r>
      <w:r w:rsidR="00FE3AD5" w:rsidRPr="00141E09">
        <w:rPr>
          <w:rFonts w:ascii="Brandon Grotesque Regular" w:hAnsi="Brandon Grotesque Regular" w:cstheme="minorHAnsi"/>
        </w:rPr>
        <w:t xml:space="preserve">religion, </w:t>
      </w:r>
      <w:r w:rsidR="00797EE3" w:rsidRPr="00141E09">
        <w:rPr>
          <w:rFonts w:ascii="Brandon Grotesque Regular" w:hAnsi="Brandon Grotesque Regular" w:cstheme="minorHAnsi"/>
        </w:rPr>
        <w:t xml:space="preserve">student </w:t>
      </w:r>
      <w:r w:rsidR="00E54C2F" w:rsidRPr="00141E09">
        <w:rPr>
          <w:rFonts w:ascii="Brandon Grotesque Regular" w:hAnsi="Brandon Grotesque Regular" w:cstheme="minorHAnsi"/>
        </w:rPr>
        <w:t>speech</w:t>
      </w:r>
      <w:r w:rsidR="00797EE3" w:rsidRPr="00141E09">
        <w:rPr>
          <w:rFonts w:ascii="Brandon Grotesque Regular" w:hAnsi="Brandon Grotesque Regular" w:cstheme="minorHAnsi"/>
        </w:rPr>
        <w:t>,</w:t>
      </w:r>
      <w:r w:rsidR="00E54C2F" w:rsidRPr="00141E09">
        <w:rPr>
          <w:rFonts w:ascii="Brandon Grotesque Regular" w:hAnsi="Brandon Grotesque Regular" w:cstheme="minorHAnsi"/>
        </w:rPr>
        <w:t xml:space="preserve"> </w:t>
      </w:r>
      <w:r w:rsidR="00FE3AD5" w:rsidRPr="00141E09">
        <w:rPr>
          <w:rFonts w:ascii="Brandon Grotesque Regular" w:hAnsi="Brandon Grotesque Regular" w:cstheme="minorHAnsi"/>
        </w:rPr>
        <w:t>assembly</w:t>
      </w:r>
      <w:r w:rsidR="00E54C2F" w:rsidRPr="00141E09">
        <w:rPr>
          <w:rFonts w:ascii="Brandon Grotesque Regular" w:hAnsi="Brandon Grotesque Regular" w:cstheme="minorHAnsi"/>
        </w:rPr>
        <w:t xml:space="preserve"> and </w:t>
      </w:r>
      <w:r w:rsidR="00FE3AD5" w:rsidRPr="00141E09">
        <w:rPr>
          <w:rFonts w:ascii="Brandon Grotesque Regular" w:hAnsi="Brandon Grotesque Regular" w:cstheme="minorHAnsi"/>
        </w:rPr>
        <w:t>press</w:t>
      </w:r>
      <w:r w:rsidR="0084780C" w:rsidRPr="00141E09">
        <w:rPr>
          <w:rFonts w:ascii="Brandon Grotesque Regular" w:hAnsi="Brandon Grotesque Regular" w:cstheme="minorHAnsi"/>
        </w:rPr>
        <w:t xml:space="preserve"> rights were at the top of U.S. Supreme Court decision</w:t>
      </w:r>
      <w:r w:rsidR="00797EE3" w:rsidRPr="00141E09">
        <w:rPr>
          <w:rFonts w:ascii="Brandon Grotesque Regular" w:hAnsi="Brandon Grotesque Regular" w:cstheme="minorHAnsi"/>
        </w:rPr>
        <w:t>s</w:t>
      </w:r>
      <w:r w:rsidR="0084780C" w:rsidRPr="00141E09">
        <w:rPr>
          <w:rFonts w:ascii="Brandon Grotesque Regular" w:hAnsi="Brandon Grotesque Regular" w:cstheme="minorHAnsi"/>
        </w:rPr>
        <w:t xml:space="preserve"> in the </w:t>
      </w:r>
      <w:r w:rsidR="00FE65DF" w:rsidRPr="00141E09">
        <w:rPr>
          <w:rFonts w:ascii="Brandon Grotesque Regular" w:hAnsi="Brandon Grotesque Regular" w:cstheme="minorHAnsi"/>
        </w:rPr>
        <w:t xml:space="preserve">just-finished </w:t>
      </w:r>
      <w:r w:rsidR="0084780C" w:rsidRPr="00141E09">
        <w:rPr>
          <w:rFonts w:ascii="Brandon Grotesque Regular" w:hAnsi="Brandon Grotesque Regular" w:cstheme="minorHAnsi"/>
        </w:rPr>
        <w:t>2020-21 term.</w:t>
      </w:r>
    </w:p>
    <w:p w14:paraId="7977A8D0" w14:textId="3DCEC903" w:rsidR="00E854C3" w:rsidRPr="00141E09" w:rsidRDefault="0052666C">
      <w:pPr>
        <w:rPr>
          <w:rFonts w:ascii="Brandon Grotesque Regular" w:hAnsi="Brandon Grotesque Regular" w:cstheme="minorHAnsi"/>
        </w:rPr>
      </w:pPr>
      <w:r w:rsidRPr="00141E09">
        <w:rPr>
          <w:rFonts w:ascii="Brandon Grotesque Regular" w:hAnsi="Brandon Grotesque Regular" w:cstheme="minorHAnsi"/>
        </w:rPr>
        <w:t>I</w:t>
      </w:r>
      <w:r w:rsidR="00CF4444" w:rsidRPr="00141E09">
        <w:rPr>
          <w:rFonts w:ascii="Brandon Grotesque Regular" w:hAnsi="Brandon Grotesque Regular" w:cstheme="minorHAnsi"/>
        </w:rPr>
        <w:t xml:space="preserve">n several key </w:t>
      </w:r>
      <w:r w:rsidR="00CF1C38" w:rsidRPr="00141E09">
        <w:rPr>
          <w:rFonts w:ascii="Brandon Grotesque Regular" w:hAnsi="Brandon Grotesque Regular" w:cstheme="minorHAnsi"/>
        </w:rPr>
        <w:t>cases</w:t>
      </w:r>
      <w:r w:rsidR="00A85BE5" w:rsidRPr="00141E09">
        <w:rPr>
          <w:rFonts w:ascii="Brandon Grotesque Regular" w:hAnsi="Brandon Grotesque Regular" w:cstheme="minorHAnsi"/>
        </w:rPr>
        <w:t>,</w:t>
      </w:r>
      <w:r w:rsidR="00CF4444" w:rsidRPr="00141E09">
        <w:rPr>
          <w:rFonts w:ascii="Brandon Grotesque Regular" w:hAnsi="Brandon Grotesque Regular" w:cstheme="minorHAnsi"/>
        </w:rPr>
        <w:t xml:space="preserve"> th</w:t>
      </w:r>
      <w:r w:rsidR="00A85BE5" w:rsidRPr="00141E09">
        <w:rPr>
          <w:rFonts w:ascii="Brandon Grotesque Regular" w:hAnsi="Brandon Grotesque Regular" w:cstheme="minorHAnsi"/>
        </w:rPr>
        <w:t xml:space="preserve">e court </w:t>
      </w:r>
      <w:r w:rsidR="00A84819" w:rsidRPr="00141E09">
        <w:rPr>
          <w:rFonts w:ascii="Brandon Grotesque Regular" w:hAnsi="Brandon Grotesque Regular" w:cstheme="minorHAnsi"/>
        </w:rPr>
        <w:t xml:space="preserve">ruled </w:t>
      </w:r>
      <w:r w:rsidR="00A85BE5" w:rsidRPr="00141E09">
        <w:rPr>
          <w:rFonts w:ascii="Brandon Grotesque Regular" w:hAnsi="Brandon Grotesque Regular" w:cstheme="minorHAnsi"/>
        </w:rPr>
        <w:t>on the side of First Amendment freedoms</w:t>
      </w:r>
      <w:r w:rsidR="00E5601A" w:rsidRPr="00141E09">
        <w:rPr>
          <w:rFonts w:ascii="Brandon Grotesque Regular" w:hAnsi="Brandon Grotesque Regular" w:cstheme="minorHAnsi"/>
        </w:rPr>
        <w:t xml:space="preserve">, including where they seemed to </w:t>
      </w:r>
      <w:r w:rsidR="008F43C3" w:rsidRPr="00141E09">
        <w:rPr>
          <w:rFonts w:ascii="Brandon Grotesque Regular" w:hAnsi="Brandon Grotesque Regular" w:cstheme="minorHAnsi"/>
        </w:rPr>
        <w:t xml:space="preserve">conflict </w:t>
      </w:r>
      <w:r w:rsidR="00E5601A" w:rsidRPr="00141E09">
        <w:rPr>
          <w:rFonts w:ascii="Brandon Grotesque Regular" w:hAnsi="Brandon Grotesque Regular" w:cstheme="minorHAnsi"/>
        </w:rPr>
        <w:t xml:space="preserve">with other values and interests. But </w:t>
      </w:r>
      <w:r w:rsidR="00F803CE" w:rsidRPr="00141E09">
        <w:rPr>
          <w:rFonts w:ascii="Brandon Grotesque Regular" w:hAnsi="Brandon Grotesque Regular" w:cstheme="minorHAnsi"/>
        </w:rPr>
        <w:t>support was not equally strong for all five freedoms.</w:t>
      </w:r>
    </w:p>
    <w:p w14:paraId="389AEF16" w14:textId="77777777" w:rsidR="00141E09" w:rsidRDefault="00141E09" w:rsidP="0052666C">
      <w:pPr>
        <w:rPr>
          <w:rFonts w:ascii="Trade Gothic LT Std Cn" w:hAnsi="Trade Gothic LT Std Cn" w:cstheme="minorHAnsi"/>
          <w:b/>
          <w:bCs/>
          <w:sz w:val="24"/>
          <w:szCs w:val="24"/>
        </w:rPr>
      </w:pPr>
    </w:p>
    <w:p w14:paraId="77519A22" w14:textId="1473C6B6" w:rsidR="0052666C" w:rsidRPr="00141E09" w:rsidRDefault="00141E09" w:rsidP="0052666C">
      <w:pPr>
        <w:rPr>
          <w:rFonts w:ascii="Trade Gothic LT Std Cn" w:hAnsi="Trade Gothic LT Std Cn" w:cstheme="minorHAnsi"/>
          <w:b/>
          <w:bCs/>
          <w:sz w:val="24"/>
          <w:szCs w:val="24"/>
        </w:rPr>
      </w:pPr>
      <w:r w:rsidRPr="00141E09">
        <w:rPr>
          <w:rFonts w:ascii="Trade Gothic LT Std Cn" w:hAnsi="Trade Gothic LT Std Cn" w:cstheme="minorHAnsi"/>
          <w:b/>
          <w:bCs/>
          <w:sz w:val="24"/>
          <w:szCs w:val="24"/>
        </w:rPr>
        <w:t>RELIGIOUS FREEDOM</w:t>
      </w:r>
    </w:p>
    <w:p w14:paraId="1092F6C7" w14:textId="66EE02EF" w:rsidR="0052666C" w:rsidRPr="00141E09" w:rsidRDefault="0052666C" w:rsidP="0052666C">
      <w:pPr>
        <w:rPr>
          <w:rFonts w:ascii="Brandon Grotesque Regular" w:hAnsi="Brandon Grotesque Regular" w:cstheme="minorHAnsi"/>
          <w:shd w:val="clear" w:color="auto" w:fill="FFFFFF"/>
        </w:rPr>
      </w:pPr>
      <w:r w:rsidRPr="00141E09">
        <w:rPr>
          <w:rFonts w:ascii="Brandon Grotesque Regular" w:hAnsi="Brandon Grotesque Regular" w:cstheme="minorHAnsi"/>
        </w:rPr>
        <w:t xml:space="preserve">In </w:t>
      </w:r>
      <w:hyperlink r:id="rId9" w:history="1">
        <w:r w:rsidR="00CE7635" w:rsidRPr="00141E09">
          <w:rPr>
            <w:rStyle w:val="Hyperlink"/>
            <w:rFonts w:ascii="Brandon Grotesque Regular" w:hAnsi="Brandon Grotesque Regular"/>
            <w:color w:val="auto"/>
            <w:u w:val="none"/>
          </w:rPr>
          <w:t>the</w:t>
        </w:r>
      </w:hyperlink>
      <w:r w:rsidR="00CE7635" w:rsidRPr="00141E09">
        <w:rPr>
          <w:rStyle w:val="Hyperlink"/>
          <w:rFonts w:ascii="Brandon Grotesque Regular" w:hAnsi="Brandon Grotesque Regular"/>
          <w:color w:val="auto"/>
          <w:u w:val="none"/>
        </w:rPr>
        <w:t xml:space="preserve"> </w:t>
      </w:r>
      <w:bookmarkStart w:id="0" w:name="_Hlk77099774"/>
      <w:r w:rsidR="00FB0ABC" w:rsidRPr="00141E09">
        <w:rPr>
          <w:rFonts w:ascii="Brandon Grotesque Regular" w:hAnsi="Brandon Grotesque Regular"/>
        </w:rPr>
        <w:t xml:space="preserve">Fulton v. City of Philadelphia </w:t>
      </w:r>
      <w:bookmarkEnd w:id="0"/>
      <w:r w:rsidR="00CE7635" w:rsidRPr="00141E09">
        <w:rPr>
          <w:rStyle w:val="Hyperlink"/>
          <w:rFonts w:ascii="Brandon Grotesque Regular" w:hAnsi="Brandon Grotesque Regular"/>
          <w:color w:val="auto"/>
          <w:u w:val="none"/>
        </w:rPr>
        <w:t xml:space="preserve">case of a Catholic social services agency </w:t>
      </w:r>
      <w:r w:rsidR="003057C2" w:rsidRPr="00141E09">
        <w:rPr>
          <w:rStyle w:val="Hyperlink"/>
          <w:rFonts w:ascii="Brandon Grotesque Regular" w:hAnsi="Brandon Grotesque Regular"/>
          <w:color w:val="auto"/>
          <w:u w:val="none"/>
        </w:rPr>
        <w:t xml:space="preserve">colliding with </w:t>
      </w:r>
      <w:r w:rsidR="00F27FCA" w:rsidRPr="00141E09">
        <w:rPr>
          <w:rStyle w:val="Hyperlink"/>
          <w:rFonts w:ascii="Brandon Grotesque Regular" w:hAnsi="Brandon Grotesque Regular"/>
          <w:color w:val="auto"/>
          <w:u w:val="none"/>
        </w:rPr>
        <w:t xml:space="preserve">municipal </w:t>
      </w:r>
      <w:r w:rsidR="003057C2" w:rsidRPr="00141E09">
        <w:rPr>
          <w:rStyle w:val="Hyperlink"/>
          <w:rFonts w:ascii="Brandon Grotesque Regular" w:hAnsi="Brandon Grotesque Regular"/>
          <w:color w:val="auto"/>
          <w:u w:val="none"/>
        </w:rPr>
        <w:t>policy</w:t>
      </w:r>
      <w:r w:rsidRPr="00141E09">
        <w:rPr>
          <w:rFonts w:ascii="Brandon Grotesque Regular" w:hAnsi="Brandon Grotesque Regular"/>
        </w:rPr>
        <w:t>,</w:t>
      </w:r>
      <w:r w:rsidRPr="00141E09">
        <w:rPr>
          <w:rFonts w:ascii="Brandon Grotesque Regular" w:hAnsi="Brandon Grotesque Regular" w:cstheme="minorHAnsi"/>
          <w:shd w:val="clear" w:color="auto" w:fill="FFFFFF"/>
        </w:rPr>
        <w:t xml:space="preserve"> the justices said the city violated the religious rights </w:t>
      </w:r>
      <w:r w:rsidR="001723C4" w:rsidRPr="00141E09">
        <w:rPr>
          <w:rFonts w:ascii="Brandon Grotesque Regular" w:hAnsi="Brandon Grotesque Regular" w:cstheme="minorHAnsi"/>
          <w:shd w:val="clear" w:color="auto" w:fill="FFFFFF"/>
        </w:rPr>
        <w:t xml:space="preserve">of </w:t>
      </w:r>
      <w:r w:rsidR="003057C2" w:rsidRPr="00141E09">
        <w:rPr>
          <w:rFonts w:ascii="Brandon Grotesque Regular" w:hAnsi="Brandon Grotesque Regular" w:cstheme="minorHAnsi"/>
          <w:shd w:val="clear" w:color="auto" w:fill="FFFFFF"/>
        </w:rPr>
        <w:t>the</w:t>
      </w:r>
      <w:r w:rsidRPr="00141E09">
        <w:rPr>
          <w:rFonts w:ascii="Brandon Grotesque Regular" w:hAnsi="Brandon Grotesque Regular" w:cstheme="minorHAnsi"/>
          <w:shd w:val="clear" w:color="auto" w:fill="FFFFFF"/>
        </w:rPr>
        <w:t xml:space="preserve"> agency by requiring it to </w:t>
      </w:r>
      <w:r w:rsidR="00F00C68" w:rsidRPr="00141E09">
        <w:rPr>
          <w:rFonts w:ascii="Brandon Grotesque Regular" w:hAnsi="Brandon Grotesque Regular" w:cstheme="minorHAnsi"/>
          <w:shd w:val="clear" w:color="auto" w:fill="FFFFFF"/>
        </w:rPr>
        <w:t>screen</w:t>
      </w:r>
      <w:r w:rsidRPr="00141E09">
        <w:rPr>
          <w:rFonts w:ascii="Brandon Grotesque Regular" w:hAnsi="Brandon Grotesque Regular" w:cstheme="minorHAnsi"/>
          <w:shd w:val="clear" w:color="auto" w:fill="FFFFFF"/>
        </w:rPr>
        <w:t xml:space="preserve"> same-sex couples </w:t>
      </w:r>
      <w:r w:rsidR="00F00C68" w:rsidRPr="00141E09">
        <w:rPr>
          <w:rFonts w:ascii="Brandon Grotesque Regular" w:hAnsi="Brandon Grotesque Regular" w:cstheme="minorHAnsi"/>
          <w:shd w:val="clear" w:color="auto" w:fill="FFFFFF"/>
        </w:rPr>
        <w:t>as p</w:t>
      </w:r>
      <w:r w:rsidRPr="00141E09">
        <w:rPr>
          <w:rFonts w:ascii="Brandon Grotesque Regular" w:hAnsi="Brandon Grotesque Regular" w:cstheme="minorHAnsi"/>
          <w:shd w:val="clear" w:color="auto" w:fill="FFFFFF"/>
        </w:rPr>
        <w:t xml:space="preserve">otential foster parents. The agency argued that its religious beliefs conflicted with the requirement and that no harm was done to prospective parents because </w:t>
      </w:r>
      <w:r w:rsidR="002C1DFE" w:rsidRPr="00141E09">
        <w:rPr>
          <w:rFonts w:ascii="Brandon Grotesque Regular" w:hAnsi="Brandon Grotesque Regular" w:cstheme="minorHAnsi"/>
          <w:shd w:val="clear" w:color="auto" w:fill="FFFFFF"/>
        </w:rPr>
        <w:t>it would refer couples to</w:t>
      </w:r>
      <w:r w:rsidRPr="00141E09">
        <w:rPr>
          <w:rFonts w:ascii="Brandon Grotesque Regular" w:hAnsi="Brandon Grotesque Regular" w:cstheme="minorHAnsi"/>
          <w:shd w:val="clear" w:color="auto" w:fill="FFFFFF"/>
        </w:rPr>
        <w:t xml:space="preserve"> multiple other agencies that work with the city and </w:t>
      </w:r>
      <w:r w:rsidR="002C1DFE" w:rsidRPr="00141E09">
        <w:rPr>
          <w:rFonts w:ascii="Brandon Grotesque Regular" w:hAnsi="Brandon Grotesque Regular" w:cstheme="minorHAnsi"/>
          <w:shd w:val="clear" w:color="auto" w:fill="FFFFFF"/>
        </w:rPr>
        <w:t>do</w:t>
      </w:r>
      <w:r w:rsidR="003355AD" w:rsidRPr="00141E09">
        <w:rPr>
          <w:rFonts w:ascii="Brandon Grotesque Regular" w:hAnsi="Brandon Grotesque Regular" w:cstheme="minorHAnsi"/>
          <w:shd w:val="clear" w:color="auto" w:fill="FFFFFF"/>
        </w:rPr>
        <w:t xml:space="preserve"> </w:t>
      </w:r>
      <w:r w:rsidRPr="00141E09">
        <w:rPr>
          <w:rFonts w:ascii="Brandon Grotesque Regular" w:hAnsi="Brandon Grotesque Regular" w:cstheme="minorHAnsi"/>
          <w:shd w:val="clear" w:color="auto" w:fill="FFFFFF"/>
        </w:rPr>
        <w:t>screen same-sex couples.</w:t>
      </w:r>
    </w:p>
    <w:p w14:paraId="2F224229" w14:textId="5CD1D80B" w:rsidR="000A7708" w:rsidRPr="00141E09" w:rsidRDefault="003057C2" w:rsidP="00141E09">
      <w:pPr>
        <w:ind w:firstLine="720"/>
        <w:rPr>
          <w:rFonts w:ascii="Brandon Grotesque Regular" w:hAnsi="Brandon Grotesque Regular" w:cstheme="minorHAnsi"/>
          <w:color w:val="333333"/>
          <w:shd w:val="clear" w:color="auto" w:fill="FFFFFF"/>
        </w:rPr>
      </w:pPr>
      <w:r w:rsidRPr="00141E09">
        <w:rPr>
          <w:rFonts w:ascii="Brandon Grotesque Regular" w:hAnsi="Brandon Grotesque Regular" w:cstheme="minorHAnsi"/>
          <w:b/>
          <w:bCs/>
          <w:color w:val="333333"/>
          <w:shd w:val="clear" w:color="auto" w:fill="FFFFFF"/>
        </w:rPr>
        <w:t>|</w:t>
      </w:r>
      <w:r w:rsidR="00141E09">
        <w:rPr>
          <w:rFonts w:ascii="Brandon Grotesque Regular" w:hAnsi="Brandon Grotesque Regular" w:cstheme="minorHAnsi"/>
          <w:b/>
          <w:bCs/>
          <w:color w:val="333333"/>
          <w:shd w:val="clear" w:color="auto" w:fill="FFFFFF"/>
        </w:rPr>
        <w:t xml:space="preserve"> </w:t>
      </w:r>
      <w:hyperlink r:id="rId10" w:history="1">
        <w:r w:rsidR="000A7708" w:rsidRPr="00141E09">
          <w:rPr>
            <w:rStyle w:val="Hyperlink"/>
            <w:rFonts w:ascii="Brandon Grotesque Regular" w:hAnsi="Brandon Grotesque Regular" w:cstheme="minorHAnsi"/>
            <w:shd w:val="clear" w:color="auto" w:fill="FFFFFF"/>
          </w:rPr>
          <w:t>Perspective: Supreme Court case goes beyond LGBTQ+ versus Catholic rights</w:t>
        </w:r>
      </w:hyperlink>
      <w:r w:rsidR="000A7708" w:rsidRPr="00141E09">
        <w:rPr>
          <w:rFonts w:ascii="Brandon Grotesque Regular" w:hAnsi="Brandon Grotesque Regular" w:cstheme="minorHAnsi"/>
          <w:color w:val="333333"/>
          <w:shd w:val="clear" w:color="auto" w:fill="FFFFFF"/>
        </w:rPr>
        <w:t xml:space="preserve"> </w:t>
      </w:r>
    </w:p>
    <w:p w14:paraId="556A591A" w14:textId="30A40363" w:rsidR="0052666C" w:rsidRPr="00141E09" w:rsidRDefault="0052666C" w:rsidP="4A6DE160">
      <w:pPr>
        <w:rPr>
          <w:rFonts w:ascii="Brandon Grotesque Regular" w:hAnsi="Brandon Grotesque Regular"/>
          <w:color w:val="333333"/>
        </w:rPr>
      </w:pPr>
      <w:r w:rsidRPr="00141E09">
        <w:rPr>
          <w:rFonts w:ascii="Brandon Grotesque Regular" w:hAnsi="Brandon Grotesque Regular"/>
          <w:shd w:val="clear" w:color="auto" w:fill="FFFFFF"/>
        </w:rPr>
        <w:t>In</w:t>
      </w:r>
      <w:r w:rsidRPr="00141E09">
        <w:rPr>
          <w:rFonts w:ascii="Brandon Grotesque Regular" w:hAnsi="Brandon Grotesque Regular"/>
          <w:color w:val="333333"/>
          <w:shd w:val="clear" w:color="auto" w:fill="FFFFFF"/>
        </w:rPr>
        <w:t xml:space="preserve"> </w:t>
      </w:r>
      <w:hyperlink r:id="rId11" w:history="1">
        <w:r w:rsidRPr="00141E09">
          <w:rPr>
            <w:rStyle w:val="Hyperlink"/>
            <w:rFonts w:ascii="Brandon Grotesque Regular" w:hAnsi="Brandon Grotesque Regular"/>
            <w:shd w:val="clear" w:color="auto" w:fill="FFFFFF"/>
          </w:rPr>
          <w:t>another decision</w:t>
        </w:r>
      </w:hyperlink>
      <w:r w:rsidRPr="00141E09">
        <w:rPr>
          <w:rFonts w:ascii="Brandon Grotesque Regular" w:hAnsi="Brandon Grotesque Regular"/>
          <w:color w:val="333333"/>
          <w:shd w:val="clear" w:color="auto" w:fill="FFFFFF"/>
        </w:rPr>
        <w:t xml:space="preserve">, </w:t>
      </w:r>
      <w:r w:rsidRPr="00141E09">
        <w:rPr>
          <w:rFonts w:ascii="Brandon Grotesque Regular" w:hAnsi="Brandon Grotesque Regular"/>
        </w:rPr>
        <w:t xml:space="preserve">New York state was found to be violating the First Amendment’s guarantee of religious liberty when it prohibited in-person religious services as part of COVID-19 pandemic regulations. </w:t>
      </w:r>
      <w:r w:rsidRPr="00141E09">
        <w:rPr>
          <w:rFonts w:ascii="Brandon Grotesque Regular" w:hAnsi="Brandon Grotesque Regular"/>
          <w:color w:val="000000"/>
        </w:rPr>
        <w:t>The opinion for the 5-4 majority, written by newly appointed Justice Amy Coney Barrett, said the state unfairly singled out religious groups for severe restrictions, while exempting many “essential” businesses such as major retailers and liquor stores</w:t>
      </w:r>
      <w:r w:rsidRPr="00141E09">
        <w:rPr>
          <w:rFonts w:ascii="Brandon Grotesque Regular" w:hAnsi="Brandon Grotesque Regular"/>
          <w:color w:val="333333"/>
        </w:rPr>
        <w:t>.</w:t>
      </w:r>
    </w:p>
    <w:p w14:paraId="68580990" w14:textId="77777777" w:rsidR="00141E09" w:rsidRDefault="00141E09">
      <w:pPr>
        <w:rPr>
          <w:rFonts w:ascii="Trade Gothic LT Std Cn" w:hAnsi="Trade Gothic LT Std Cn" w:cstheme="minorHAnsi"/>
          <w:b/>
          <w:bCs/>
          <w:sz w:val="24"/>
          <w:szCs w:val="24"/>
        </w:rPr>
      </w:pPr>
    </w:p>
    <w:p w14:paraId="68257F80" w14:textId="205E9A74" w:rsidR="004E1F3A" w:rsidRPr="00141E09" w:rsidRDefault="00141E09">
      <w:pPr>
        <w:rPr>
          <w:rFonts w:ascii="Trade Gothic LT Std Cn" w:hAnsi="Trade Gothic LT Std Cn" w:cstheme="minorHAnsi"/>
          <w:b/>
          <w:bCs/>
          <w:sz w:val="24"/>
          <w:szCs w:val="24"/>
        </w:rPr>
      </w:pPr>
      <w:r w:rsidRPr="00141E09">
        <w:rPr>
          <w:rFonts w:ascii="Trade Gothic LT Std Cn" w:hAnsi="Trade Gothic LT Std Cn" w:cstheme="minorHAnsi"/>
          <w:b/>
          <w:bCs/>
          <w:sz w:val="24"/>
          <w:szCs w:val="24"/>
        </w:rPr>
        <w:t>STUDENT SPEECH</w:t>
      </w:r>
    </w:p>
    <w:p w14:paraId="3FAD84A7" w14:textId="114EDFBF" w:rsidR="0084780C" w:rsidRPr="00141E09" w:rsidRDefault="0084780C">
      <w:pPr>
        <w:rPr>
          <w:rFonts w:ascii="Brandon Grotesque Regular" w:hAnsi="Brandon Grotesque Regular" w:cstheme="minorHAnsi"/>
        </w:rPr>
      </w:pPr>
      <w:r w:rsidRPr="00141E09">
        <w:rPr>
          <w:rFonts w:ascii="Brandon Grotesque Regular" w:hAnsi="Brandon Grotesque Regular" w:cstheme="minorHAnsi"/>
        </w:rPr>
        <w:t>In a decision that attracted wide media coverage</w:t>
      </w:r>
      <w:r w:rsidR="00721462" w:rsidRPr="00141E09">
        <w:rPr>
          <w:rFonts w:ascii="Brandon Grotesque Regular" w:hAnsi="Brandon Grotesque Regular" w:cstheme="minorHAnsi"/>
        </w:rPr>
        <w:t xml:space="preserve"> (</w:t>
      </w:r>
      <w:r w:rsidR="00D12D5F" w:rsidRPr="00141E09">
        <w:rPr>
          <w:rFonts w:ascii="Brandon Grotesque Regular" w:hAnsi="Brandon Grotesque Regular" w:cstheme="minorHAnsi"/>
        </w:rPr>
        <w:t>the case</w:t>
      </w:r>
      <w:r w:rsidR="00262209" w:rsidRPr="00141E09">
        <w:rPr>
          <w:rFonts w:ascii="Brandon Grotesque Regular" w:hAnsi="Brandon Grotesque Regular" w:cstheme="minorHAnsi"/>
        </w:rPr>
        <w:t xml:space="preserve"> of a </w:t>
      </w:r>
      <w:hyperlink r:id="rId12" w:history="1">
        <w:r w:rsidR="003C4076" w:rsidRPr="00141E09">
          <w:rPr>
            <w:rStyle w:val="Hyperlink"/>
            <w:rFonts w:ascii="Brandon Grotesque Regular" w:hAnsi="Brandon Grotesque Regular" w:cstheme="minorHAnsi"/>
          </w:rPr>
          <w:t>Snapchatting cheerleader</w:t>
        </w:r>
      </w:hyperlink>
      <w:r w:rsidR="00AA38E9" w:rsidRPr="00141E09">
        <w:rPr>
          <w:rFonts w:ascii="Brandon Grotesque Regular" w:hAnsi="Brandon Grotesque Regular" w:cstheme="minorHAnsi"/>
        </w:rPr>
        <w:t>,</w:t>
      </w:r>
      <w:r w:rsidR="00D12D5F" w:rsidRPr="00141E09">
        <w:rPr>
          <w:rFonts w:ascii="Brandon Grotesque Regular" w:hAnsi="Brandon Grotesque Regular" w:cstheme="minorHAnsi"/>
        </w:rPr>
        <w:t xml:space="preserve"> </w:t>
      </w:r>
      <w:r w:rsidR="009B2148" w:rsidRPr="00141E09">
        <w:rPr>
          <w:rFonts w:ascii="Brandon Grotesque Regular" w:hAnsi="Brandon Grotesque Regular" w:cstheme="minorHAnsi"/>
        </w:rPr>
        <w:t>Mah</w:t>
      </w:r>
      <w:r w:rsidR="00804278" w:rsidRPr="00141E09">
        <w:rPr>
          <w:rFonts w:ascii="Brandon Grotesque Regular" w:hAnsi="Brandon Grotesque Regular" w:cstheme="minorHAnsi"/>
        </w:rPr>
        <w:t>a</w:t>
      </w:r>
      <w:r w:rsidR="009B2148" w:rsidRPr="00141E09">
        <w:rPr>
          <w:rFonts w:ascii="Brandon Grotesque Regular" w:hAnsi="Brandon Grotesque Regular" w:cstheme="minorHAnsi"/>
        </w:rPr>
        <w:t>n</w:t>
      </w:r>
      <w:r w:rsidR="00804278" w:rsidRPr="00141E09">
        <w:rPr>
          <w:rFonts w:ascii="Brandon Grotesque Regular" w:hAnsi="Brandon Grotesque Regular" w:cstheme="minorHAnsi"/>
        </w:rPr>
        <w:t>o</w:t>
      </w:r>
      <w:r w:rsidR="009B2148" w:rsidRPr="00141E09">
        <w:rPr>
          <w:rFonts w:ascii="Brandon Grotesque Regular" w:hAnsi="Brandon Grotesque Regular" w:cstheme="minorHAnsi"/>
        </w:rPr>
        <w:t>y Area School District v. B.L</w:t>
      </w:r>
      <w:r w:rsidR="00804278" w:rsidRPr="00141E09">
        <w:rPr>
          <w:rFonts w:ascii="Brandon Grotesque Regular" w:hAnsi="Brandon Grotesque Regular" w:cstheme="minorHAnsi"/>
        </w:rPr>
        <w:t>.</w:t>
      </w:r>
      <w:r w:rsidR="00721462" w:rsidRPr="00141E09">
        <w:rPr>
          <w:rFonts w:ascii="Brandon Grotesque Regular" w:hAnsi="Brandon Grotesque Regular" w:cstheme="minorHAnsi"/>
        </w:rPr>
        <w:t>)</w:t>
      </w:r>
      <w:r w:rsidR="009B2148" w:rsidRPr="00141E09">
        <w:rPr>
          <w:rFonts w:ascii="Brandon Grotesque Regular" w:hAnsi="Brandon Grotesque Regular" w:cstheme="minorHAnsi"/>
        </w:rPr>
        <w:t xml:space="preserve">, </w:t>
      </w:r>
      <w:r w:rsidR="00D12D5F" w:rsidRPr="00141E09">
        <w:rPr>
          <w:rFonts w:ascii="Brandon Grotesque Regular" w:hAnsi="Brandon Grotesque Regular" w:cstheme="minorHAnsi"/>
        </w:rPr>
        <w:t>the court held that school officials cannot punish a student</w:t>
      </w:r>
      <w:r w:rsidR="00B8062D" w:rsidRPr="00141E09">
        <w:rPr>
          <w:rFonts w:ascii="Brandon Grotesque Regular" w:hAnsi="Brandon Grotesque Regular" w:cstheme="minorHAnsi"/>
        </w:rPr>
        <w:t xml:space="preserve"> </w:t>
      </w:r>
      <w:r w:rsidR="00D12D5F" w:rsidRPr="00141E09">
        <w:rPr>
          <w:rFonts w:ascii="Brandon Grotesque Regular" w:hAnsi="Brandon Grotesque Regular" w:cstheme="minorHAnsi"/>
        </w:rPr>
        <w:t>for off-campus speech</w:t>
      </w:r>
      <w:r w:rsidR="0077008D" w:rsidRPr="00141E09">
        <w:rPr>
          <w:rFonts w:ascii="Brandon Grotesque Regular" w:hAnsi="Brandon Grotesque Regular" w:cstheme="minorHAnsi"/>
        </w:rPr>
        <w:t xml:space="preserve"> </w:t>
      </w:r>
      <w:r w:rsidR="004C7356" w:rsidRPr="00141E09">
        <w:rPr>
          <w:rFonts w:ascii="Brandon Grotesque Regular" w:hAnsi="Brandon Grotesque Regular" w:cstheme="minorHAnsi"/>
        </w:rPr>
        <w:t>in most instances</w:t>
      </w:r>
      <w:r w:rsidR="0026050B" w:rsidRPr="00141E09">
        <w:rPr>
          <w:rFonts w:ascii="Brandon Grotesque Regular" w:hAnsi="Brandon Grotesque Regular" w:cstheme="minorHAnsi"/>
        </w:rPr>
        <w:t>.</w:t>
      </w:r>
    </w:p>
    <w:p w14:paraId="6DBA3E0A" w14:textId="204D2C53" w:rsidR="009F567B" w:rsidRPr="00141E09" w:rsidRDefault="3C9A7E80" w:rsidP="78B6D093">
      <w:pPr>
        <w:rPr>
          <w:rFonts w:ascii="Brandon Grotesque Regular" w:hAnsi="Brandon Grotesque Regular"/>
          <w:color w:val="313233"/>
          <w:shd w:val="clear" w:color="auto" w:fill="FFFFFF"/>
        </w:rPr>
      </w:pPr>
      <w:r w:rsidRPr="00141E09">
        <w:rPr>
          <w:rFonts w:ascii="Brandon Grotesque Regular" w:hAnsi="Brandon Grotesque Regular"/>
        </w:rPr>
        <w:t>A</w:t>
      </w:r>
      <w:r w:rsidR="00B8062D" w:rsidRPr="00141E09">
        <w:rPr>
          <w:rFonts w:ascii="Brandon Grotesque Regular" w:hAnsi="Brandon Grotesque Regular"/>
        </w:rPr>
        <w:t xml:space="preserve">s </w:t>
      </w:r>
      <w:r w:rsidR="0026050B" w:rsidRPr="00141E09">
        <w:rPr>
          <w:rFonts w:ascii="Brandon Grotesque Regular" w:hAnsi="Brandon Grotesque Regular"/>
        </w:rPr>
        <w:t xml:space="preserve">Freedom Forum Fellow </w:t>
      </w:r>
      <w:r w:rsidR="002E2E8C" w:rsidRPr="00141E09">
        <w:rPr>
          <w:rFonts w:ascii="Brandon Grotesque Regular" w:hAnsi="Brandon Grotesque Regular"/>
        </w:rPr>
        <w:t xml:space="preserve">and student speech expert </w:t>
      </w:r>
      <w:r w:rsidR="0026050B" w:rsidRPr="00141E09">
        <w:rPr>
          <w:rFonts w:ascii="Brandon Grotesque Regular" w:hAnsi="Brandon Grotesque Regular"/>
        </w:rPr>
        <w:t>David Hudson wrote</w:t>
      </w:r>
      <w:r w:rsidR="000B2CF8" w:rsidRPr="00141E09">
        <w:rPr>
          <w:rFonts w:ascii="Brandon Grotesque Regular" w:hAnsi="Brandon Grotesque Regular"/>
        </w:rPr>
        <w:t xml:space="preserve">, </w:t>
      </w:r>
      <w:r w:rsidR="00B8062D" w:rsidRPr="00141E09">
        <w:rPr>
          <w:rFonts w:ascii="Brandon Grotesque Regular" w:hAnsi="Brandon Grotesque Regular"/>
          <w:shd w:val="clear" w:color="auto" w:fill="FFFFFF"/>
        </w:rPr>
        <w:t>the court “</w:t>
      </w:r>
      <w:r w:rsidR="000B2CF8" w:rsidRPr="00141E09">
        <w:rPr>
          <w:rFonts w:ascii="Brandon Grotesque Regular" w:hAnsi="Brandon Grotesque Regular"/>
          <w:shd w:val="clear" w:color="auto" w:fill="FFFFFF"/>
        </w:rPr>
        <w:t>reaffirmed the core principles</w:t>
      </w:r>
      <w:r w:rsidR="00A815B0" w:rsidRPr="00141E09">
        <w:rPr>
          <w:rFonts w:ascii="Brandon Grotesque Regular" w:hAnsi="Brandon Grotesque Regular"/>
          <w:shd w:val="clear" w:color="auto" w:fill="FFFFFF"/>
        </w:rPr>
        <w:t>”</w:t>
      </w:r>
      <w:r w:rsidR="000B2CF8" w:rsidRPr="00141E09">
        <w:rPr>
          <w:rFonts w:ascii="Brandon Grotesque Regular" w:hAnsi="Brandon Grotesque Regular"/>
          <w:shd w:val="clear" w:color="auto" w:fill="FFFFFF"/>
        </w:rPr>
        <w:t xml:space="preserve"> </w:t>
      </w:r>
      <w:r w:rsidR="000B2CF8" w:rsidRPr="00141E09">
        <w:rPr>
          <w:rFonts w:ascii="Brandon Grotesque Regular" w:hAnsi="Brandon Grotesque Regular"/>
          <w:color w:val="313233"/>
          <w:shd w:val="clear" w:color="auto" w:fill="FFFFFF"/>
        </w:rPr>
        <w:t xml:space="preserve">of </w:t>
      </w:r>
      <w:hyperlink r:id="rId13" w:tgtFrame="_blank" w:history="1">
        <w:r w:rsidR="00B85319" w:rsidRPr="00141E09">
          <w:rPr>
            <w:rFonts w:ascii="Brandon Grotesque Regular" w:hAnsi="Brandon Grotesque Regular"/>
          </w:rPr>
          <w:t>Tinker v. Des Moines Independent Community School District</w:t>
        </w:r>
        <w:r w:rsidR="00537807" w:rsidRPr="00141E09">
          <w:rPr>
            <w:rFonts w:ascii="Brandon Grotesque Regular" w:hAnsi="Brandon Grotesque Regular"/>
          </w:rPr>
          <w:t xml:space="preserve">, the nation’s major student speech case. </w:t>
        </w:r>
      </w:hyperlink>
      <w:r w:rsidR="00B8062D" w:rsidRPr="00141E09">
        <w:rPr>
          <w:rFonts w:ascii="Brandon Grotesque Regular" w:hAnsi="Brandon Grotesque Regular"/>
          <w:color w:val="313233"/>
        </w:rPr>
        <w:t xml:space="preserve"> </w:t>
      </w:r>
    </w:p>
    <w:p w14:paraId="4445161C" w14:textId="77777777" w:rsidR="00ED5CBC" w:rsidRDefault="00ED5CBC" w:rsidP="00141E09">
      <w:pPr>
        <w:ind w:firstLine="720"/>
        <w:rPr>
          <w:rFonts w:ascii="Brandon Grotesque Regular" w:hAnsi="Brandon Grotesque Regular" w:cstheme="minorHAnsi"/>
          <w:b/>
          <w:bCs/>
          <w:color w:val="313233"/>
          <w:shd w:val="clear" w:color="auto" w:fill="FFFFFF"/>
        </w:rPr>
      </w:pPr>
    </w:p>
    <w:p w14:paraId="7F38A1D6" w14:textId="67370198" w:rsidR="00F54762" w:rsidRPr="00141E09" w:rsidRDefault="00F54762" w:rsidP="00141E09">
      <w:pPr>
        <w:ind w:firstLine="720"/>
        <w:rPr>
          <w:rFonts w:ascii="Brandon Grotesque Regular" w:hAnsi="Brandon Grotesque Regular" w:cstheme="minorHAnsi"/>
          <w:color w:val="313233"/>
          <w:shd w:val="clear" w:color="auto" w:fill="FFFFFF"/>
        </w:rPr>
      </w:pPr>
      <w:r w:rsidRPr="00141E09">
        <w:rPr>
          <w:rFonts w:ascii="Brandon Grotesque Regular" w:hAnsi="Brandon Grotesque Regular" w:cstheme="minorHAnsi"/>
          <w:b/>
          <w:bCs/>
          <w:color w:val="313233"/>
          <w:shd w:val="clear" w:color="auto" w:fill="FFFFFF"/>
        </w:rPr>
        <w:t xml:space="preserve">| </w:t>
      </w:r>
      <w:hyperlink r:id="rId14" w:history="1">
        <w:r w:rsidRPr="00141E09">
          <w:rPr>
            <w:rStyle w:val="Hyperlink"/>
            <w:rFonts w:ascii="Brandon Grotesque Regular" w:hAnsi="Brandon Grotesque Regular" w:cstheme="minorHAnsi"/>
            <w:shd w:val="clear" w:color="auto" w:fill="FFFFFF"/>
          </w:rPr>
          <w:t>Perspective: Students, Parents and Free Speech Win in Cheerleading Case</w:t>
        </w:r>
      </w:hyperlink>
    </w:p>
    <w:p w14:paraId="0FBC94FC" w14:textId="5AEE3986" w:rsidR="0077008D" w:rsidRPr="00141E09" w:rsidRDefault="00B8062D">
      <w:pPr>
        <w:rPr>
          <w:rFonts w:ascii="Brandon Grotesque Regular" w:hAnsi="Brandon Grotesque Regular" w:cstheme="minorHAnsi"/>
        </w:rPr>
      </w:pPr>
      <w:r w:rsidRPr="00141E09">
        <w:rPr>
          <w:rFonts w:ascii="Brandon Grotesque Regular" w:hAnsi="Brandon Grotesque Regular" w:cstheme="minorHAnsi"/>
          <w:shd w:val="clear" w:color="auto" w:fill="FFFFFF"/>
        </w:rPr>
        <w:lastRenderedPageBreak/>
        <w:t xml:space="preserve">But </w:t>
      </w:r>
      <w:r w:rsidR="00652EA6" w:rsidRPr="00141E09">
        <w:rPr>
          <w:rFonts w:ascii="Brandon Grotesque Regular" w:hAnsi="Brandon Grotesque Regular" w:cstheme="minorHAnsi"/>
          <w:shd w:val="clear" w:color="auto" w:fill="FFFFFF"/>
        </w:rPr>
        <w:t>the court</w:t>
      </w:r>
      <w:r w:rsidRPr="00141E09">
        <w:rPr>
          <w:rFonts w:ascii="Brandon Grotesque Regular" w:hAnsi="Brandon Grotesque Regular" w:cstheme="minorHAnsi"/>
          <w:shd w:val="clear" w:color="auto" w:fill="FFFFFF"/>
        </w:rPr>
        <w:t xml:space="preserve"> also left open circumstances in which </w:t>
      </w:r>
      <w:r w:rsidR="00BD490E" w:rsidRPr="00141E09">
        <w:rPr>
          <w:rFonts w:ascii="Brandon Grotesque Regular" w:hAnsi="Brandon Grotesque Regular" w:cstheme="minorHAnsi"/>
          <w:shd w:val="clear" w:color="auto" w:fill="FFFFFF"/>
        </w:rPr>
        <w:t xml:space="preserve">administrators can </w:t>
      </w:r>
      <w:r w:rsidR="005D676C" w:rsidRPr="00141E09">
        <w:rPr>
          <w:rFonts w:ascii="Brandon Grotesque Regular" w:hAnsi="Brandon Grotesque Regular" w:cstheme="minorHAnsi"/>
          <w:shd w:val="clear" w:color="auto" w:fill="FFFFFF"/>
        </w:rPr>
        <w:t>act</w:t>
      </w:r>
      <w:r w:rsidR="00BD490E" w:rsidRPr="00141E09">
        <w:rPr>
          <w:rFonts w:ascii="Brandon Grotesque Regular" w:hAnsi="Brandon Grotesque Regular" w:cstheme="minorHAnsi"/>
          <w:shd w:val="clear" w:color="auto" w:fill="FFFFFF"/>
        </w:rPr>
        <w:t>, including field trips</w:t>
      </w:r>
      <w:r w:rsidR="00D21FDE" w:rsidRPr="00141E09">
        <w:rPr>
          <w:rFonts w:ascii="Brandon Grotesque Regular" w:hAnsi="Brandon Grotesque Regular" w:cstheme="minorHAnsi"/>
          <w:shd w:val="clear" w:color="auto" w:fill="FFFFFF"/>
        </w:rPr>
        <w:t xml:space="preserve"> and </w:t>
      </w:r>
      <w:r w:rsidR="00BD490E" w:rsidRPr="00141E09">
        <w:rPr>
          <w:rFonts w:ascii="Brandon Grotesque Regular" w:hAnsi="Brandon Grotesque Regular" w:cstheme="minorHAnsi"/>
          <w:shd w:val="clear" w:color="auto" w:fill="FFFFFF"/>
        </w:rPr>
        <w:t>“away” athletic events</w:t>
      </w:r>
      <w:r w:rsidR="00D21FDE" w:rsidRPr="00141E09">
        <w:rPr>
          <w:rFonts w:ascii="Brandon Grotesque Regular" w:hAnsi="Brandon Grotesque Regular" w:cstheme="minorHAnsi"/>
          <w:shd w:val="clear" w:color="auto" w:fill="FFFFFF"/>
        </w:rPr>
        <w:t xml:space="preserve">, and noted that the increasing presence of social media and distance learning </w:t>
      </w:r>
      <w:r w:rsidR="00864A8C" w:rsidRPr="00141E09">
        <w:rPr>
          <w:rFonts w:ascii="Brandon Grotesque Regular" w:hAnsi="Brandon Grotesque Regular" w:cstheme="minorHAnsi"/>
          <w:shd w:val="clear" w:color="auto" w:fill="FFFFFF"/>
        </w:rPr>
        <w:t xml:space="preserve">likely will </w:t>
      </w:r>
      <w:r w:rsidR="00D21FDE" w:rsidRPr="00141E09">
        <w:rPr>
          <w:rFonts w:ascii="Brandon Grotesque Regular" w:hAnsi="Brandon Grotesque Regular" w:cstheme="minorHAnsi"/>
          <w:shd w:val="clear" w:color="auto" w:fill="FFFFFF"/>
        </w:rPr>
        <w:t xml:space="preserve">broaden the category of when school officials can </w:t>
      </w:r>
      <w:r w:rsidR="00EA1A4A" w:rsidRPr="00141E09">
        <w:rPr>
          <w:rFonts w:ascii="Brandon Grotesque Regular" w:hAnsi="Brandon Grotesque Regular" w:cstheme="minorHAnsi"/>
          <w:shd w:val="clear" w:color="auto" w:fill="FFFFFF"/>
        </w:rPr>
        <w:t>discipline student speech</w:t>
      </w:r>
      <w:r w:rsidR="00D21FDE" w:rsidRPr="00141E09">
        <w:rPr>
          <w:rFonts w:ascii="Brandon Grotesque Regular" w:hAnsi="Brandon Grotesque Regular" w:cstheme="minorHAnsi"/>
          <w:shd w:val="clear" w:color="auto" w:fill="FFFFFF"/>
        </w:rPr>
        <w:t>.</w:t>
      </w:r>
    </w:p>
    <w:p w14:paraId="1A12632F" w14:textId="77777777" w:rsidR="000E1FED" w:rsidRDefault="000E1FED" w:rsidP="00E854C3">
      <w:pPr>
        <w:spacing w:line="254" w:lineRule="auto"/>
        <w:rPr>
          <w:rFonts w:ascii="Trade Gothic LT Std Cn" w:hAnsi="Trade Gothic LT Std Cn" w:cstheme="minorHAnsi"/>
          <w:b/>
          <w:bCs/>
          <w:sz w:val="24"/>
          <w:szCs w:val="24"/>
        </w:rPr>
      </w:pPr>
    </w:p>
    <w:p w14:paraId="31BB23C4" w14:textId="013CF1BC" w:rsidR="00E854C3" w:rsidRPr="00141E09" w:rsidRDefault="00141E09" w:rsidP="00E854C3">
      <w:pPr>
        <w:spacing w:line="254" w:lineRule="auto"/>
        <w:rPr>
          <w:rFonts w:ascii="Trade Gothic LT Std Cn" w:hAnsi="Trade Gothic LT Std Cn" w:cstheme="minorHAnsi"/>
          <w:b/>
          <w:bCs/>
          <w:sz w:val="24"/>
          <w:szCs w:val="24"/>
        </w:rPr>
      </w:pPr>
      <w:r w:rsidRPr="00141E09">
        <w:rPr>
          <w:rFonts w:ascii="Trade Gothic LT Std Cn" w:hAnsi="Trade Gothic LT Std Cn" w:cstheme="minorHAnsi"/>
          <w:b/>
          <w:bCs/>
          <w:sz w:val="24"/>
          <w:szCs w:val="24"/>
        </w:rPr>
        <w:t>PRESS FREEDOM</w:t>
      </w:r>
    </w:p>
    <w:p w14:paraId="7357F044" w14:textId="20E1C1C7" w:rsidR="00E854C3" w:rsidRPr="00141E09" w:rsidRDefault="00E854C3" w:rsidP="4A6DE160">
      <w:pPr>
        <w:spacing w:line="254" w:lineRule="auto"/>
        <w:rPr>
          <w:rFonts w:ascii="Brandon Grotesque Regular" w:hAnsi="Brandon Grotesque Regular"/>
        </w:rPr>
      </w:pPr>
      <w:r w:rsidRPr="00141E09">
        <w:rPr>
          <w:rFonts w:ascii="Brandon Grotesque Regular" w:hAnsi="Brandon Grotesque Regular"/>
        </w:rPr>
        <w:t>In an end-of-term decision</w:t>
      </w:r>
      <w:r w:rsidR="002C15CB" w:rsidRPr="00141E09">
        <w:rPr>
          <w:rFonts w:ascii="Brandon Grotesque Regular" w:hAnsi="Brandon Grotesque Regular"/>
        </w:rPr>
        <w:t xml:space="preserve"> (</w:t>
      </w:r>
      <w:proofErr w:type="spellStart"/>
      <w:r w:rsidRPr="00141E09">
        <w:rPr>
          <w:rFonts w:ascii="Brandon Grotesque Regular" w:hAnsi="Brandon Grotesque Regular"/>
        </w:rPr>
        <w:t>Shkelzen</w:t>
      </w:r>
      <w:proofErr w:type="spellEnd"/>
      <w:r w:rsidRPr="00141E09">
        <w:rPr>
          <w:rFonts w:ascii="Brandon Grotesque Regular" w:hAnsi="Brandon Grotesque Regular"/>
        </w:rPr>
        <w:t xml:space="preserve"> Berisha v. Guy Lawson</w:t>
      </w:r>
      <w:r w:rsidR="002C15CB" w:rsidRPr="00141E09">
        <w:rPr>
          <w:rFonts w:ascii="Brandon Grotesque Regular" w:hAnsi="Brandon Grotesque Regular"/>
        </w:rPr>
        <w:t>)</w:t>
      </w:r>
      <w:r w:rsidRPr="00141E09">
        <w:rPr>
          <w:rFonts w:ascii="Brandon Grotesque Regular" w:hAnsi="Brandon Grotesque Regular"/>
        </w:rPr>
        <w:t xml:space="preserve">, the court declined to hear a defamation case. But Justice Neil Gorsuch disagreed and appeared to join an earlier call by Justice Clarence Thomas to revisit the </w:t>
      </w:r>
      <w:hyperlink r:id="rId15">
        <w:r w:rsidRPr="00141E09">
          <w:rPr>
            <w:rStyle w:val="Hyperlink"/>
            <w:rFonts w:ascii="Brandon Grotesque Regular" w:hAnsi="Brandon Grotesque Regular"/>
          </w:rPr>
          <w:t>seminal 1964 case New York Times Co. v. Sullivan</w:t>
        </w:r>
      </w:hyperlink>
      <w:r w:rsidR="002C15CB" w:rsidRPr="00141E09">
        <w:rPr>
          <w:rFonts w:ascii="Brandon Grotesque Regular" w:eastAsia="Times New Roman" w:hAnsi="Brandon Grotesque Regular"/>
        </w:rPr>
        <w:t xml:space="preserve">, </w:t>
      </w:r>
      <w:r w:rsidRPr="00141E09">
        <w:rPr>
          <w:rFonts w:ascii="Brandon Grotesque Regular" w:hAnsi="Brandon Grotesque Regular"/>
        </w:rPr>
        <w:t>which could signal a future First Amendment collision over free speech and free press.</w:t>
      </w:r>
    </w:p>
    <w:p w14:paraId="0FA94749" w14:textId="25D7F2A2" w:rsidR="00E854C3" w:rsidRPr="00141E09" w:rsidRDefault="00E854C3" w:rsidP="752BB2B2">
      <w:pPr>
        <w:spacing w:line="254" w:lineRule="auto"/>
        <w:rPr>
          <w:rFonts w:ascii="Brandon Grotesque Regular" w:hAnsi="Brandon Grotesque Regular" w:cstheme="minorHAnsi"/>
        </w:rPr>
      </w:pPr>
      <w:r w:rsidRPr="00141E09">
        <w:rPr>
          <w:rFonts w:ascii="Brandon Grotesque Regular" w:hAnsi="Brandon Grotesque Regular" w:cstheme="minorHAnsi"/>
        </w:rPr>
        <w:t xml:space="preserve">The court in </w:t>
      </w:r>
      <w:r w:rsidR="006C14A7" w:rsidRPr="00141E09">
        <w:rPr>
          <w:rFonts w:ascii="Brandon Grotesque Regular" w:hAnsi="Brandon Grotesque Regular" w:cstheme="minorHAnsi"/>
        </w:rPr>
        <w:t xml:space="preserve">the Sullivan </w:t>
      </w:r>
      <w:r w:rsidRPr="00141E09">
        <w:rPr>
          <w:rFonts w:ascii="Brandon Grotesque Regular" w:hAnsi="Brandon Grotesque Regular" w:cstheme="minorHAnsi"/>
        </w:rPr>
        <w:t xml:space="preserve">decision set a high standard of proof for </w:t>
      </w:r>
      <w:r w:rsidR="008B70F2" w:rsidRPr="00141E09">
        <w:rPr>
          <w:rFonts w:ascii="Brandon Grotesque Regular" w:hAnsi="Brandon Grotesque Regular" w:cstheme="minorHAnsi"/>
        </w:rPr>
        <w:t xml:space="preserve">defamation </w:t>
      </w:r>
      <w:r w:rsidRPr="00141E09">
        <w:rPr>
          <w:rFonts w:ascii="Brandon Grotesque Regular" w:hAnsi="Brandon Grotesque Regular" w:cstheme="minorHAnsi"/>
        </w:rPr>
        <w:t xml:space="preserve">cases: </w:t>
      </w:r>
      <w:r w:rsidR="006C14A7" w:rsidRPr="00141E09">
        <w:rPr>
          <w:rFonts w:ascii="Brandon Grotesque Regular" w:hAnsi="Brandon Grotesque Regular" w:cstheme="minorHAnsi"/>
        </w:rPr>
        <w:t xml:space="preserve">requiring </w:t>
      </w:r>
      <w:r w:rsidRPr="00141E09">
        <w:rPr>
          <w:rFonts w:ascii="Brandon Grotesque Regular" w:hAnsi="Brandon Grotesque Regular" w:cstheme="minorHAnsi"/>
        </w:rPr>
        <w:t>showing those statements are made with “actual malice”</w:t>
      </w:r>
      <w:r w:rsidR="00D631C9" w:rsidRPr="00141E09">
        <w:rPr>
          <w:rFonts w:ascii="Brandon Grotesque Regular" w:hAnsi="Brandon Grotesque Regular" w:cstheme="minorHAnsi"/>
        </w:rPr>
        <w:t xml:space="preserve"> — </w:t>
      </w:r>
      <w:r w:rsidR="006147A6" w:rsidRPr="00141E09">
        <w:rPr>
          <w:rFonts w:ascii="Brandon Grotesque Regular" w:hAnsi="Brandon Grotesque Regular" w:cstheme="minorHAnsi"/>
        </w:rPr>
        <w:t>that is,</w:t>
      </w:r>
      <w:r w:rsidRPr="00141E09">
        <w:rPr>
          <w:rFonts w:ascii="Brandon Grotesque Regular" w:hAnsi="Brandon Grotesque Regular" w:cstheme="minorHAnsi"/>
        </w:rPr>
        <w:t xml:space="preserve"> </w:t>
      </w:r>
      <w:r w:rsidR="00B44E0C" w:rsidRPr="00141E09">
        <w:rPr>
          <w:rFonts w:ascii="Brandon Grotesque Regular" w:hAnsi="Brandon Grotesque Regular" w:cstheme="minorHAnsi"/>
        </w:rPr>
        <w:t xml:space="preserve">with </w:t>
      </w:r>
      <w:r w:rsidRPr="00141E09">
        <w:rPr>
          <w:rFonts w:ascii="Brandon Grotesque Regular" w:hAnsi="Brandon Grotesque Regular" w:cstheme="minorHAnsi"/>
        </w:rPr>
        <w:t>knowledge the information was false</w:t>
      </w:r>
      <w:r w:rsidR="00D631C9" w:rsidRPr="00141E09">
        <w:rPr>
          <w:rFonts w:ascii="Brandon Grotesque Regular" w:hAnsi="Brandon Grotesque Regular" w:cstheme="minorHAnsi"/>
        </w:rPr>
        <w:t xml:space="preserve"> </w:t>
      </w:r>
      <w:r w:rsidRPr="00141E09">
        <w:rPr>
          <w:rFonts w:ascii="Brandon Grotesque Regular" w:hAnsi="Brandon Grotesque Regular" w:cstheme="minorHAnsi"/>
        </w:rPr>
        <w:t xml:space="preserve">or </w:t>
      </w:r>
      <w:r w:rsidR="00526A9A" w:rsidRPr="00141E09">
        <w:rPr>
          <w:rFonts w:ascii="Brandon Grotesque Regular" w:hAnsi="Brandon Grotesque Regular" w:cstheme="minorHAnsi"/>
        </w:rPr>
        <w:t xml:space="preserve">with </w:t>
      </w:r>
      <w:r w:rsidRPr="00141E09">
        <w:rPr>
          <w:rFonts w:ascii="Brandon Grotesque Regular" w:hAnsi="Brandon Grotesque Regular" w:cstheme="minorHAnsi"/>
        </w:rPr>
        <w:t xml:space="preserve">reckless disregard for </w:t>
      </w:r>
      <w:proofErr w:type="gramStart"/>
      <w:r w:rsidRPr="00141E09">
        <w:rPr>
          <w:rFonts w:ascii="Brandon Grotesque Regular" w:hAnsi="Brandon Grotesque Regular" w:cstheme="minorHAnsi"/>
        </w:rPr>
        <w:t>whether or not</w:t>
      </w:r>
      <w:proofErr w:type="gramEnd"/>
      <w:r w:rsidR="009A1973" w:rsidRPr="00141E09">
        <w:rPr>
          <w:rFonts w:ascii="Brandon Grotesque Regular" w:hAnsi="Brandon Grotesque Regular" w:cstheme="minorHAnsi"/>
        </w:rPr>
        <w:t xml:space="preserve"> it was true</w:t>
      </w:r>
      <w:r w:rsidRPr="00141E09">
        <w:rPr>
          <w:rFonts w:ascii="Brandon Grotesque Regular" w:hAnsi="Brandon Grotesque Regular" w:cstheme="minorHAnsi"/>
        </w:rPr>
        <w:t xml:space="preserve">. </w:t>
      </w:r>
    </w:p>
    <w:p w14:paraId="2B426C27" w14:textId="19A4B852" w:rsidR="00907050" w:rsidRPr="00141E09" w:rsidRDefault="00907050" w:rsidP="00907050">
      <w:pPr>
        <w:rPr>
          <w:rFonts w:ascii="Brandon Grotesque Regular" w:eastAsia="Times New Roman" w:hAnsi="Brandon Grotesque Regular"/>
        </w:rPr>
      </w:pPr>
      <w:r w:rsidRPr="00141E09">
        <w:rPr>
          <w:rFonts w:ascii="Brandon Grotesque Regular" w:eastAsia="Times New Roman" w:hAnsi="Brandon Grotesque Regular"/>
        </w:rPr>
        <w:t>Those who would not revisit Sullivan say journalists</w:t>
      </w:r>
      <w:r w:rsidR="0071495C" w:rsidRPr="00141E09">
        <w:rPr>
          <w:rFonts w:ascii="Brandon Grotesque Regular" w:eastAsia="Times New Roman" w:hAnsi="Brandon Grotesque Regular"/>
        </w:rPr>
        <w:t xml:space="preserve">, </w:t>
      </w:r>
      <w:r w:rsidR="00A3052D" w:rsidRPr="00141E09">
        <w:rPr>
          <w:rFonts w:ascii="Brandon Grotesque Regular" w:eastAsia="Times New Roman" w:hAnsi="Brandon Grotesque Regular"/>
        </w:rPr>
        <w:softHyphen/>
      </w:r>
      <w:r w:rsidRPr="00141E09">
        <w:rPr>
          <w:rFonts w:ascii="Brandon Grotesque Regular" w:eastAsia="Times New Roman" w:hAnsi="Brandon Grotesque Regular"/>
        </w:rPr>
        <w:t>and anyone speaking or writing in public</w:t>
      </w:r>
      <w:r w:rsidR="0071495C" w:rsidRPr="00141E09">
        <w:rPr>
          <w:rFonts w:ascii="Brandon Grotesque Regular" w:eastAsia="Times New Roman" w:hAnsi="Brandon Grotesque Regular"/>
        </w:rPr>
        <w:t xml:space="preserve">, </w:t>
      </w:r>
      <w:r w:rsidRPr="00141E09">
        <w:rPr>
          <w:rFonts w:ascii="Brandon Grotesque Regular" w:eastAsia="Times New Roman" w:hAnsi="Brandon Grotesque Regular"/>
        </w:rPr>
        <w:t>would face a near</w:t>
      </w:r>
      <w:r w:rsidR="00D816B0" w:rsidRPr="00141E09">
        <w:rPr>
          <w:rFonts w:ascii="Brandon Grotesque Regular" w:eastAsia="Times New Roman" w:hAnsi="Brandon Grotesque Regular"/>
        </w:rPr>
        <w:t>-</w:t>
      </w:r>
      <w:r w:rsidRPr="00141E09">
        <w:rPr>
          <w:rFonts w:ascii="Brandon Grotesque Regular" w:eastAsia="Times New Roman" w:hAnsi="Brandon Grotesque Regular"/>
        </w:rPr>
        <w:t xml:space="preserve">impossible task in this litigious-happy society if even a minor, </w:t>
      </w:r>
      <w:proofErr w:type="gramStart"/>
      <w:r w:rsidRPr="00141E09">
        <w:rPr>
          <w:rFonts w:ascii="Brandon Grotesque Regular" w:eastAsia="Times New Roman" w:hAnsi="Brandon Grotesque Regular"/>
        </w:rPr>
        <w:t>inadvertent error</w:t>
      </w:r>
      <w:proofErr w:type="gramEnd"/>
      <w:r w:rsidRPr="00141E09">
        <w:rPr>
          <w:rFonts w:ascii="Brandon Grotesque Regular" w:eastAsia="Times New Roman" w:hAnsi="Brandon Grotesque Regular"/>
        </w:rPr>
        <w:t xml:space="preserve"> could subject them to </w:t>
      </w:r>
      <w:r w:rsidR="00116803" w:rsidRPr="00141E09">
        <w:rPr>
          <w:rFonts w:ascii="Brandon Grotesque Regular" w:hAnsi="Brandon Grotesque Regular"/>
        </w:rPr>
        <w:t>harassing or meritless lawsuits aimed at making speakers spend money on defending themselves</w:t>
      </w:r>
      <w:r w:rsidR="0FCADB3D" w:rsidRPr="00141E09">
        <w:rPr>
          <w:rFonts w:ascii="Brandon Grotesque Regular" w:eastAsia="Times New Roman" w:hAnsi="Brandon Grotesque Regular"/>
        </w:rPr>
        <w:t>.</w:t>
      </w:r>
      <w:r w:rsidRPr="00141E09">
        <w:rPr>
          <w:rFonts w:ascii="Brandon Grotesque Regular" w:eastAsia="Times New Roman" w:hAnsi="Brandon Grotesque Regular"/>
        </w:rPr>
        <w:t> </w:t>
      </w:r>
    </w:p>
    <w:p w14:paraId="2E3BE431" w14:textId="68A8881C" w:rsidR="00907050" w:rsidRPr="00141E09" w:rsidRDefault="00907050" w:rsidP="00907050">
      <w:pPr>
        <w:rPr>
          <w:rFonts w:ascii="Brandon Grotesque Regular" w:eastAsia="Times New Roman" w:hAnsi="Brandon Grotesque Regular"/>
        </w:rPr>
      </w:pPr>
      <w:r w:rsidRPr="00141E09">
        <w:rPr>
          <w:rFonts w:ascii="Brandon Grotesque Regular" w:eastAsia="Times New Roman" w:hAnsi="Brandon Grotesque Regular"/>
        </w:rPr>
        <w:t>But the two justices say deliberate falsehoods are so prevalent that a revision is needed to allow some an easier path for defamation complaints.</w:t>
      </w:r>
    </w:p>
    <w:p w14:paraId="6C206241" w14:textId="77777777" w:rsidR="00E854C3" w:rsidRPr="00141E09" w:rsidRDefault="00E854C3" w:rsidP="00E854C3">
      <w:pPr>
        <w:spacing w:line="254" w:lineRule="auto"/>
        <w:rPr>
          <w:rFonts w:ascii="Brandon Grotesque Regular" w:hAnsi="Brandon Grotesque Regular" w:cstheme="minorHAnsi"/>
        </w:rPr>
      </w:pPr>
      <w:r w:rsidRPr="00141E09">
        <w:rPr>
          <w:rFonts w:ascii="Brandon Grotesque Regular" w:hAnsi="Brandon Grotesque Regular" w:cstheme="minorHAnsi"/>
        </w:rPr>
        <w:t xml:space="preserve">Gorsuch wrote that in the 1960s at the time of the Sullivan case, the news media needed protections from occasional error, but argued the media landscape has changed so much that level of protection no longer makes sense. He noted how much harder it has become to sue for libel: </w:t>
      </w:r>
    </w:p>
    <w:p w14:paraId="3166544C" w14:textId="77777777" w:rsidR="00E854C3" w:rsidRPr="00141E09" w:rsidRDefault="00E854C3" w:rsidP="00E854C3">
      <w:pPr>
        <w:spacing w:line="254" w:lineRule="auto"/>
        <w:rPr>
          <w:rFonts w:ascii="Brandon Grotesque Regular" w:hAnsi="Brandon Grotesque Regular" w:cstheme="minorHAnsi"/>
        </w:rPr>
      </w:pPr>
      <w:r w:rsidRPr="00141E09">
        <w:rPr>
          <w:rFonts w:ascii="Brandon Grotesque Regular" w:hAnsi="Brandon Grotesque Regular" w:cstheme="minorHAnsi"/>
        </w:rPr>
        <w:t xml:space="preserve">“If ensuring an informed democratic debate is the goal, how well do we serve that interest with rules that no longer merely tolerate but encourage falsehoods in quantities no one could have envisioned almost 60 years ago?” </w:t>
      </w:r>
    </w:p>
    <w:p w14:paraId="3DBCA4AD" w14:textId="77777777" w:rsidR="00E854C3" w:rsidRPr="00141E09" w:rsidRDefault="00E854C3" w:rsidP="00141E09">
      <w:pPr>
        <w:ind w:firstLine="720"/>
        <w:rPr>
          <w:rFonts w:ascii="Brandon Grotesque Regular" w:hAnsi="Brandon Grotesque Regular" w:cstheme="minorHAnsi"/>
        </w:rPr>
      </w:pPr>
      <w:r w:rsidRPr="00141E09">
        <w:rPr>
          <w:rFonts w:ascii="Brandon Grotesque Regular" w:hAnsi="Brandon Grotesque Regular" w:cstheme="minorHAnsi"/>
          <w:b/>
          <w:bCs/>
        </w:rPr>
        <w:t xml:space="preserve">| </w:t>
      </w:r>
      <w:hyperlink r:id="rId16" w:history="1">
        <w:r w:rsidRPr="00141E09">
          <w:rPr>
            <w:rStyle w:val="Hyperlink"/>
            <w:rFonts w:ascii="Brandon Grotesque Regular" w:hAnsi="Brandon Grotesque Regular" w:cstheme="minorHAnsi"/>
          </w:rPr>
          <w:t>Perspective: Is the Supreme Court Still a Defender of Press Freedom?</w:t>
        </w:r>
      </w:hyperlink>
    </w:p>
    <w:p w14:paraId="09065C1D" w14:textId="102CFB77" w:rsidR="00E854C3" w:rsidRPr="00141E09" w:rsidRDefault="00E854C3" w:rsidP="00E854C3">
      <w:pPr>
        <w:rPr>
          <w:rFonts w:ascii="Brandon Grotesque Regular" w:hAnsi="Brandon Grotesque Regular" w:cstheme="minorHAnsi"/>
        </w:rPr>
      </w:pPr>
      <w:r w:rsidRPr="00141E09">
        <w:rPr>
          <w:rFonts w:ascii="Brandon Grotesque Regular" w:hAnsi="Brandon Grotesque Regular" w:cstheme="minorHAnsi"/>
        </w:rPr>
        <w:t xml:space="preserve">Some legal scholars have pushed back on similar claims against </w:t>
      </w:r>
      <w:r w:rsidRPr="00141E09">
        <w:rPr>
          <w:rFonts w:ascii="Brandon Grotesque Regular" w:hAnsi="Brandon Grotesque Regular"/>
        </w:rPr>
        <w:t xml:space="preserve">Sullivan, </w:t>
      </w:r>
      <w:r w:rsidRPr="00141E09">
        <w:rPr>
          <w:rFonts w:ascii="Brandon Grotesque Regular" w:hAnsi="Brandon Grotesque Regular" w:cstheme="minorHAnsi"/>
        </w:rPr>
        <w:t xml:space="preserve">saying flaws in the “malice” standard have more to do with the court’s expansion of when the standard comes into play, originally applied only for “public officials,” but later to all “public figures” and then to those who only temporarily have a public life due to involvement in newsworthy events, for example. </w:t>
      </w:r>
    </w:p>
    <w:p w14:paraId="12BE0F53" w14:textId="77777777" w:rsidR="00141E09" w:rsidRDefault="00141E09" w:rsidP="00CC42AD">
      <w:pPr>
        <w:shd w:val="clear" w:color="auto" w:fill="FFFFFF"/>
        <w:spacing w:after="0"/>
        <w:textAlignment w:val="baseline"/>
        <w:rPr>
          <w:rFonts w:ascii="Trade Gothic LT Std Cn" w:hAnsi="Trade Gothic LT Std Cn" w:cstheme="minorHAnsi"/>
          <w:b/>
          <w:bCs/>
          <w:sz w:val="24"/>
          <w:szCs w:val="24"/>
        </w:rPr>
      </w:pPr>
    </w:p>
    <w:p w14:paraId="2372978E" w14:textId="6414F313" w:rsidR="00F32AF0" w:rsidRPr="00141E09" w:rsidRDefault="00141E09" w:rsidP="00CC42AD">
      <w:pPr>
        <w:shd w:val="clear" w:color="auto" w:fill="FFFFFF"/>
        <w:spacing w:after="0"/>
        <w:textAlignment w:val="baseline"/>
        <w:rPr>
          <w:rFonts w:ascii="Trade Gothic LT Std Cn" w:hAnsi="Trade Gothic LT Std Cn" w:cstheme="minorHAnsi"/>
          <w:b/>
          <w:bCs/>
          <w:sz w:val="24"/>
          <w:szCs w:val="24"/>
        </w:rPr>
      </w:pPr>
      <w:r w:rsidRPr="00141E09">
        <w:rPr>
          <w:rFonts w:ascii="Trade Gothic LT Std Cn" w:hAnsi="Trade Gothic LT Std Cn" w:cstheme="minorHAnsi"/>
          <w:b/>
          <w:bCs/>
          <w:sz w:val="24"/>
          <w:szCs w:val="24"/>
        </w:rPr>
        <w:t>FREEDOM OF ASSEMBLY</w:t>
      </w:r>
    </w:p>
    <w:p w14:paraId="0C4F9507" w14:textId="77777777" w:rsidR="00141E09" w:rsidRDefault="00141E09" w:rsidP="00CC42AD">
      <w:pPr>
        <w:shd w:val="clear" w:color="auto" w:fill="FFFFFF"/>
        <w:spacing w:after="0"/>
        <w:textAlignment w:val="baseline"/>
        <w:rPr>
          <w:rFonts w:ascii="Brandon Grotesque Regular" w:hAnsi="Brandon Grotesque Regular" w:cstheme="minorHAnsi"/>
        </w:rPr>
      </w:pPr>
    </w:p>
    <w:p w14:paraId="7A8C4E8A" w14:textId="551B1DB5" w:rsidR="00820896" w:rsidRPr="00141E09" w:rsidRDefault="00FB07CE" w:rsidP="00CC42AD">
      <w:pPr>
        <w:shd w:val="clear" w:color="auto" w:fill="FFFFFF"/>
        <w:spacing w:after="0"/>
        <w:textAlignment w:val="baseline"/>
        <w:rPr>
          <w:rFonts w:ascii="Brandon Grotesque Regular" w:hAnsi="Brandon Grotesque Regular" w:cstheme="minorHAnsi"/>
        </w:rPr>
      </w:pPr>
      <w:r w:rsidRPr="00141E09">
        <w:rPr>
          <w:rFonts w:ascii="Brandon Grotesque Regular" w:hAnsi="Brandon Grotesque Regular" w:cstheme="minorHAnsi"/>
        </w:rPr>
        <w:t>T</w:t>
      </w:r>
      <w:r w:rsidR="00F675CD" w:rsidRPr="00141E09">
        <w:rPr>
          <w:rFonts w:ascii="Brandon Grotesque Regular" w:hAnsi="Brandon Grotesque Regular" w:cstheme="minorHAnsi"/>
        </w:rPr>
        <w:t>he final First Amendment decision of the term</w:t>
      </w:r>
      <w:r w:rsidR="002F19F0" w:rsidRPr="00141E09">
        <w:rPr>
          <w:rFonts w:ascii="Brandon Grotesque Regular" w:hAnsi="Brandon Grotesque Regular" w:cstheme="minorHAnsi"/>
        </w:rPr>
        <w:t xml:space="preserve"> was </w:t>
      </w:r>
      <w:hyperlink r:id="rId17" w:history="1">
        <w:r w:rsidR="002F19F0" w:rsidRPr="00141E09">
          <w:rPr>
            <w:rStyle w:val="Hyperlink"/>
            <w:rFonts w:ascii="Brandon Grotesque Regular" w:hAnsi="Brandon Grotesque Regular" w:cstheme="minorHAnsi"/>
          </w:rPr>
          <w:t>an unusual one</w:t>
        </w:r>
      </w:hyperlink>
      <w:r w:rsidR="007D201B" w:rsidRPr="00141E09">
        <w:rPr>
          <w:rFonts w:ascii="Brandon Grotesque Regular" w:hAnsi="Brandon Grotesque Regular" w:cstheme="minorHAnsi"/>
        </w:rPr>
        <w:t>, notes Freedom Forum special correspondent Tony Mauro</w:t>
      </w:r>
      <w:r w:rsidR="00820896" w:rsidRPr="00141E09">
        <w:rPr>
          <w:rFonts w:ascii="Brandon Grotesque Regular" w:hAnsi="Brandon Grotesque Regular" w:cstheme="minorHAnsi"/>
        </w:rPr>
        <w:t>:</w:t>
      </w:r>
    </w:p>
    <w:p w14:paraId="105D49F4" w14:textId="77777777" w:rsidR="00141E09" w:rsidRDefault="00141E09" w:rsidP="00141E09">
      <w:pPr>
        <w:spacing w:after="0" w:line="254" w:lineRule="auto"/>
        <w:rPr>
          <w:rFonts w:ascii="Brandon Grotesque Regular" w:hAnsi="Brandon Grotesque Regular"/>
        </w:rPr>
      </w:pPr>
    </w:p>
    <w:p w14:paraId="72E8ADAE" w14:textId="6F7C5888" w:rsidR="00522081" w:rsidRPr="00141E09" w:rsidRDefault="00F675CD" w:rsidP="00F675CD">
      <w:pPr>
        <w:spacing w:line="254" w:lineRule="auto"/>
        <w:rPr>
          <w:rFonts w:ascii="Brandon Grotesque Regular" w:hAnsi="Brandon Grotesque Regular" w:cstheme="minorHAnsi"/>
        </w:rPr>
      </w:pPr>
      <w:r w:rsidRPr="00141E09">
        <w:rPr>
          <w:rFonts w:ascii="Brandon Grotesque Regular" w:hAnsi="Brandon Grotesque Regular"/>
        </w:rPr>
        <w:t xml:space="preserve">Americans for Prosperity Foundation v. Bonta </w:t>
      </w:r>
      <w:r w:rsidR="00CC42AD" w:rsidRPr="00141E09">
        <w:rPr>
          <w:rFonts w:ascii="Brandon Grotesque Regular" w:hAnsi="Brandon Grotesque Regular" w:cstheme="minorHAnsi"/>
        </w:rPr>
        <w:t xml:space="preserve">involved a </w:t>
      </w:r>
      <w:r w:rsidRPr="00141E09">
        <w:rPr>
          <w:rFonts w:ascii="Brandon Grotesque Regular" w:hAnsi="Brandon Grotesque Regular" w:cstheme="minorHAnsi"/>
        </w:rPr>
        <w:t xml:space="preserve">broad range of nonprofit organizations </w:t>
      </w:r>
      <w:r w:rsidR="00CC42AD" w:rsidRPr="00141E09">
        <w:rPr>
          <w:rFonts w:ascii="Brandon Grotesque Regular" w:hAnsi="Brandon Grotesque Regular" w:cstheme="minorHAnsi"/>
        </w:rPr>
        <w:t>challenging C</w:t>
      </w:r>
      <w:r w:rsidRPr="00141E09">
        <w:rPr>
          <w:rFonts w:ascii="Brandon Grotesque Regular" w:hAnsi="Brandon Grotesque Regular" w:cstheme="minorHAnsi"/>
        </w:rPr>
        <w:t>alifornia</w:t>
      </w:r>
      <w:r w:rsidR="00964440" w:rsidRPr="00141E09">
        <w:rPr>
          <w:rFonts w:ascii="Brandon Grotesque Regular" w:hAnsi="Brandon Grotesque Regular" w:cstheme="minorHAnsi"/>
        </w:rPr>
        <w:t>’</w:t>
      </w:r>
      <w:r w:rsidRPr="00141E09">
        <w:rPr>
          <w:rFonts w:ascii="Brandon Grotesque Regular" w:hAnsi="Brandon Grotesque Regular" w:cstheme="minorHAnsi"/>
        </w:rPr>
        <w:t xml:space="preserve">s requirement that the names and addresses of organizations’ donors be disclosed. California said the information is needed to monitor </w:t>
      </w:r>
      <w:r w:rsidR="00CC42AD" w:rsidRPr="00141E09">
        <w:rPr>
          <w:rFonts w:ascii="Brandon Grotesque Regular" w:hAnsi="Brandon Grotesque Regular" w:cstheme="minorHAnsi"/>
        </w:rPr>
        <w:t xml:space="preserve">potential </w:t>
      </w:r>
      <w:r w:rsidRPr="00141E09">
        <w:rPr>
          <w:rFonts w:ascii="Brandon Grotesque Regular" w:hAnsi="Brandon Grotesque Regular" w:cstheme="minorHAnsi"/>
        </w:rPr>
        <w:t>misconduct by charities</w:t>
      </w:r>
      <w:r w:rsidR="00FB07CE" w:rsidRPr="00141E09">
        <w:rPr>
          <w:rFonts w:ascii="Brandon Grotesque Regular" w:hAnsi="Brandon Grotesque Regular" w:cstheme="minorHAnsi"/>
        </w:rPr>
        <w:t>.</w:t>
      </w:r>
      <w:r w:rsidR="008046C9" w:rsidRPr="00141E09">
        <w:rPr>
          <w:rFonts w:ascii="Brandon Grotesque Regular" w:hAnsi="Brandon Grotesque Regular" w:cstheme="minorHAnsi"/>
        </w:rPr>
        <w:t xml:space="preserve"> But the </w:t>
      </w:r>
      <w:r w:rsidRPr="00141E09">
        <w:rPr>
          <w:rFonts w:ascii="Brandon Grotesque Regular" w:hAnsi="Brandon Grotesque Regular" w:cstheme="minorHAnsi"/>
        </w:rPr>
        <w:lastRenderedPageBreak/>
        <w:t xml:space="preserve">organizations </w:t>
      </w:r>
      <w:r w:rsidR="00C158D4" w:rsidRPr="00141E09">
        <w:rPr>
          <w:rFonts w:ascii="Brandon Grotesque Regular" w:hAnsi="Brandon Grotesque Regular" w:cstheme="minorHAnsi"/>
        </w:rPr>
        <w:t xml:space="preserve">said </w:t>
      </w:r>
      <w:r w:rsidRPr="00141E09">
        <w:rPr>
          <w:rFonts w:ascii="Brandon Grotesque Regular" w:hAnsi="Brandon Grotesque Regular" w:cstheme="minorHAnsi"/>
        </w:rPr>
        <w:t xml:space="preserve">the names should be </w:t>
      </w:r>
      <w:r w:rsidR="00C158D4" w:rsidRPr="00141E09">
        <w:rPr>
          <w:rFonts w:ascii="Brandon Grotesque Regular" w:hAnsi="Brandon Grotesque Regular" w:cstheme="minorHAnsi"/>
        </w:rPr>
        <w:t>private</w:t>
      </w:r>
      <w:r w:rsidRPr="00141E09">
        <w:rPr>
          <w:rFonts w:ascii="Brandon Grotesque Regular" w:hAnsi="Brandon Grotesque Regular" w:cstheme="minorHAnsi"/>
        </w:rPr>
        <w:t xml:space="preserve">, especially in the current divisive political climate where donors could be harassed. </w:t>
      </w:r>
    </w:p>
    <w:p w14:paraId="665EFD85" w14:textId="15763555" w:rsidR="00F675CD" w:rsidRPr="00141E09" w:rsidRDefault="00262209" w:rsidP="00F675CD">
      <w:pPr>
        <w:spacing w:line="254" w:lineRule="auto"/>
        <w:rPr>
          <w:rFonts w:ascii="Brandon Grotesque Regular" w:hAnsi="Brandon Grotesque Regular" w:cstheme="minorHAnsi"/>
        </w:rPr>
      </w:pPr>
      <w:r w:rsidRPr="00141E09">
        <w:rPr>
          <w:rFonts w:ascii="Brandon Grotesque Regular" w:hAnsi="Brandon Grotesque Regular" w:cstheme="minorHAnsi"/>
        </w:rPr>
        <w:t>T</w:t>
      </w:r>
      <w:r w:rsidR="00F675CD" w:rsidRPr="00141E09">
        <w:rPr>
          <w:rFonts w:ascii="Brandon Grotesque Regular" w:hAnsi="Brandon Grotesque Regular" w:cstheme="minorHAnsi"/>
        </w:rPr>
        <w:t xml:space="preserve">o protect freedom of association, </w:t>
      </w:r>
      <w:r w:rsidR="00836188" w:rsidRPr="00141E09">
        <w:rPr>
          <w:rFonts w:ascii="Brandon Grotesque Regular" w:hAnsi="Brandon Grotesque Regular" w:cstheme="minorHAnsi"/>
        </w:rPr>
        <w:t xml:space="preserve">long viewed as a component of </w:t>
      </w:r>
      <w:r w:rsidR="00330DB2" w:rsidRPr="00141E09">
        <w:rPr>
          <w:rFonts w:ascii="Brandon Grotesque Regular" w:hAnsi="Brandon Grotesque Regular" w:cstheme="minorHAnsi"/>
        </w:rPr>
        <w:t>“</w:t>
      </w:r>
      <w:r w:rsidR="00836188" w:rsidRPr="00141E09">
        <w:rPr>
          <w:rFonts w:ascii="Brandon Grotesque Regular" w:hAnsi="Brandon Grotesque Regular" w:cstheme="minorHAnsi"/>
        </w:rPr>
        <w:t>the right of the people peaceably to assemble,</w:t>
      </w:r>
      <w:r w:rsidR="00330DB2" w:rsidRPr="00141E09">
        <w:rPr>
          <w:rFonts w:ascii="Brandon Grotesque Regular" w:hAnsi="Brandon Grotesque Regular" w:cstheme="minorHAnsi"/>
        </w:rPr>
        <w:t>”</w:t>
      </w:r>
      <w:r w:rsidR="00836188" w:rsidRPr="00141E09">
        <w:rPr>
          <w:rFonts w:ascii="Brandon Grotesque Regular" w:hAnsi="Brandon Grotesque Regular" w:cstheme="minorHAnsi"/>
        </w:rPr>
        <w:t xml:space="preserve"> </w:t>
      </w:r>
      <w:r w:rsidR="00F675CD" w:rsidRPr="00141E09">
        <w:rPr>
          <w:rFonts w:ascii="Brandon Grotesque Regular" w:hAnsi="Brandon Grotesque Regular" w:cstheme="minorHAnsi"/>
        </w:rPr>
        <w:t xml:space="preserve">the Supreme Court has ruled in the past that </w:t>
      </w:r>
      <w:r w:rsidR="00BB141F" w:rsidRPr="00141E09">
        <w:rPr>
          <w:rFonts w:ascii="Brandon Grotesque Regular" w:hAnsi="Brandon Grotesque Regular" w:cstheme="minorHAnsi"/>
        </w:rPr>
        <w:t xml:space="preserve">such </w:t>
      </w:r>
      <w:r w:rsidR="00F675CD" w:rsidRPr="00141E09">
        <w:rPr>
          <w:rFonts w:ascii="Brandon Grotesque Regular" w:hAnsi="Brandon Grotesque Regular" w:cstheme="minorHAnsi"/>
        </w:rPr>
        <w:t>organizations and their members should be given a high level of privacy from government scrutiny, especially if the groups are controversial.</w:t>
      </w:r>
    </w:p>
    <w:p w14:paraId="6530BAF8" w14:textId="4ACD7BD6" w:rsidR="00F675CD" w:rsidRPr="00141E09" w:rsidRDefault="00F675CD" w:rsidP="00F675CD">
      <w:pPr>
        <w:spacing w:line="254" w:lineRule="auto"/>
        <w:rPr>
          <w:rFonts w:ascii="Brandon Grotesque Regular" w:hAnsi="Brandon Grotesque Regular" w:cstheme="minorHAnsi"/>
        </w:rPr>
      </w:pPr>
      <w:r w:rsidRPr="00141E09">
        <w:rPr>
          <w:rFonts w:ascii="Brandon Grotesque Regular" w:hAnsi="Brandon Grotesque Regular" w:cstheme="minorHAnsi"/>
        </w:rPr>
        <w:t xml:space="preserve">The high court embraced that viewpoint again in its July 1 ruling. By a 6-3 vote, with Chief Justice John Roberts Jr. writing for the majority, the court said California’s disclosure regulation was not important enough to outweigh the </w:t>
      </w:r>
      <w:r w:rsidR="004F76D0" w:rsidRPr="00141E09">
        <w:rPr>
          <w:rFonts w:ascii="Brandon Grotesque Regular" w:hAnsi="Brandon Grotesque Regular" w:cstheme="minorHAnsi"/>
        </w:rPr>
        <w:t>“</w:t>
      </w:r>
      <w:r w:rsidRPr="00141E09">
        <w:rPr>
          <w:rFonts w:ascii="Brandon Grotesque Regular" w:hAnsi="Brandon Grotesque Regular" w:cstheme="minorHAnsi"/>
        </w:rPr>
        <w:t>risk of a chilling effect on association</w:t>
      </w:r>
      <w:r w:rsidR="004F76D0" w:rsidRPr="00141E09">
        <w:rPr>
          <w:rFonts w:ascii="Brandon Grotesque Regular" w:hAnsi="Brandon Grotesque Regular" w:cstheme="minorHAnsi"/>
        </w:rPr>
        <w:t>”</w:t>
      </w:r>
      <w:r w:rsidRPr="00141E09">
        <w:rPr>
          <w:rFonts w:ascii="Brandon Grotesque Regular" w:hAnsi="Brandon Grotesque Regular" w:cstheme="minorHAnsi"/>
        </w:rPr>
        <w:t xml:space="preserve"> of donors who might fear being attacked </w:t>
      </w:r>
      <w:r w:rsidR="00E86046" w:rsidRPr="00141E09">
        <w:rPr>
          <w:rFonts w:ascii="Brandon Grotesque Regular" w:hAnsi="Brandon Grotesque Regular" w:cstheme="minorHAnsi"/>
        </w:rPr>
        <w:t>for their views</w:t>
      </w:r>
      <w:r w:rsidRPr="00141E09">
        <w:rPr>
          <w:rFonts w:ascii="Brandon Grotesque Regular" w:hAnsi="Brandon Grotesque Regular" w:cstheme="minorHAnsi"/>
        </w:rPr>
        <w:t xml:space="preserve">. </w:t>
      </w:r>
    </w:p>
    <w:p w14:paraId="0D7A8AC4" w14:textId="77777777" w:rsidR="00141E09" w:rsidRDefault="00F675CD" w:rsidP="00141E09">
      <w:pPr>
        <w:pBdr>
          <w:bottom w:val="single" w:sz="12" w:space="31" w:color="auto"/>
        </w:pBdr>
        <w:spacing w:line="254" w:lineRule="auto"/>
        <w:rPr>
          <w:rFonts w:ascii="Brandon Grotesque Regular" w:hAnsi="Brandon Grotesque Regular" w:cstheme="minorHAnsi"/>
        </w:rPr>
      </w:pPr>
      <w:r w:rsidRPr="00141E09">
        <w:rPr>
          <w:rFonts w:ascii="Brandon Grotesque Regular" w:hAnsi="Brandon Grotesque Regular" w:cstheme="minorHAnsi"/>
        </w:rPr>
        <w:t>The decision was</w:t>
      </w:r>
      <w:r w:rsidR="00053696" w:rsidRPr="00141E09">
        <w:rPr>
          <w:rFonts w:ascii="Brandon Grotesque Regular" w:hAnsi="Brandon Grotesque Regular" w:cstheme="minorHAnsi"/>
        </w:rPr>
        <w:t xml:space="preserve"> </w:t>
      </w:r>
      <w:r w:rsidR="005745AD" w:rsidRPr="00141E09">
        <w:rPr>
          <w:rFonts w:ascii="Brandon Grotesque Regular" w:hAnsi="Brandon Grotesque Regular"/>
        </w:rPr>
        <w:t xml:space="preserve">applauded by some as a First Amendment </w:t>
      </w:r>
      <w:proofErr w:type="gramStart"/>
      <w:r w:rsidR="005745AD" w:rsidRPr="00141E09">
        <w:rPr>
          <w:rFonts w:ascii="Brandon Grotesque Regular" w:hAnsi="Brandon Grotesque Regular"/>
        </w:rPr>
        <w:t>victory</w:t>
      </w:r>
      <w:r w:rsidR="003F0F44" w:rsidRPr="00141E09">
        <w:rPr>
          <w:rFonts w:ascii="Brandon Grotesque Regular" w:hAnsi="Brandon Grotesque Regular"/>
        </w:rPr>
        <w:t>,</w:t>
      </w:r>
      <w:r w:rsidR="005745AD" w:rsidRPr="00141E09">
        <w:rPr>
          <w:rFonts w:ascii="Brandon Grotesque Regular" w:hAnsi="Brandon Grotesque Regular" w:cstheme="minorHAnsi"/>
        </w:rPr>
        <w:t xml:space="preserve"> but</w:t>
      </w:r>
      <w:proofErr w:type="gramEnd"/>
      <w:r w:rsidR="005745AD" w:rsidRPr="00141E09">
        <w:rPr>
          <w:rFonts w:ascii="Brandon Grotesque Regular" w:hAnsi="Brandon Grotesque Regular" w:cstheme="minorHAnsi"/>
        </w:rPr>
        <w:t xml:space="preserve"> </w:t>
      </w:r>
      <w:r w:rsidR="00053696" w:rsidRPr="00141E09">
        <w:rPr>
          <w:rFonts w:ascii="Brandon Grotesque Regular" w:hAnsi="Brandon Grotesque Regular" w:cstheme="minorHAnsi"/>
        </w:rPr>
        <w:t xml:space="preserve">criticized </w:t>
      </w:r>
      <w:r w:rsidR="00DC7AC1" w:rsidRPr="00141E09">
        <w:rPr>
          <w:rFonts w:ascii="Brandon Grotesque Regular" w:hAnsi="Brandon Grotesque Regular" w:cstheme="minorHAnsi"/>
        </w:rPr>
        <w:t xml:space="preserve">by </w:t>
      </w:r>
      <w:r w:rsidR="005745AD" w:rsidRPr="00141E09">
        <w:rPr>
          <w:rFonts w:ascii="Brandon Grotesque Regular" w:hAnsi="Brandon Grotesque Regular" w:cstheme="minorHAnsi"/>
        </w:rPr>
        <w:t xml:space="preserve">others </w:t>
      </w:r>
      <w:r w:rsidR="00DC7AC1" w:rsidRPr="00141E09">
        <w:rPr>
          <w:rFonts w:ascii="Brandon Grotesque Regular" w:hAnsi="Brandon Grotesque Regular" w:cstheme="minorHAnsi"/>
        </w:rPr>
        <w:t xml:space="preserve">as a </w:t>
      </w:r>
      <w:r w:rsidRPr="00141E09">
        <w:rPr>
          <w:rFonts w:ascii="Brandon Grotesque Regular" w:hAnsi="Brandon Grotesque Regular" w:cstheme="minorHAnsi"/>
        </w:rPr>
        <w:t xml:space="preserve">boost for </w:t>
      </w:r>
      <w:r w:rsidR="00330DB2" w:rsidRPr="00141E09">
        <w:rPr>
          <w:rFonts w:ascii="Brandon Grotesque Regular" w:hAnsi="Brandon Grotesque Regular" w:cstheme="minorHAnsi"/>
        </w:rPr>
        <w:t>“d</w:t>
      </w:r>
      <w:r w:rsidRPr="00141E09">
        <w:rPr>
          <w:rFonts w:ascii="Brandon Grotesque Regular" w:hAnsi="Brandon Grotesque Regular" w:cstheme="minorHAnsi"/>
        </w:rPr>
        <w:t>ark money</w:t>
      </w:r>
      <w:r w:rsidR="00330DB2" w:rsidRPr="00141E09">
        <w:rPr>
          <w:rFonts w:ascii="Brandon Grotesque Regular" w:hAnsi="Brandon Grotesque Regular" w:cstheme="minorHAnsi"/>
        </w:rPr>
        <w:t>”</w:t>
      </w:r>
      <w:r w:rsidRPr="00141E09">
        <w:rPr>
          <w:rFonts w:ascii="Brandon Grotesque Regular" w:hAnsi="Brandon Grotesque Regular" w:cstheme="minorHAnsi"/>
        </w:rPr>
        <w:t xml:space="preserve"> donors who want their contributions in political campaigns to be anonymous.</w:t>
      </w:r>
    </w:p>
    <w:p w14:paraId="6DDD5053" w14:textId="77777777" w:rsidR="00141E09" w:rsidRDefault="00141E09" w:rsidP="00141E09">
      <w:pPr>
        <w:pBdr>
          <w:bottom w:val="single" w:sz="12" w:space="31" w:color="auto"/>
        </w:pBdr>
        <w:spacing w:line="254" w:lineRule="auto"/>
        <w:rPr>
          <w:rFonts w:ascii="Brandon Grotesque Regular" w:hAnsi="Brandon Grotesque Regular" w:cstheme="minorHAnsi"/>
        </w:rPr>
      </w:pPr>
      <w:r>
        <w:rPr>
          <w:rFonts w:ascii="Brandon Grotesque Regular" w:hAnsi="Brandon Grotesque Regular"/>
        </w:rPr>
        <w:t>W</w:t>
      </w:r>
      <w:r w:rsidR="62FE1936" w:rsidRPr="00141E09">
        <w:rPr>
          <w:rFonts w:ascii="Brandon Grotesque Regular" w:hAnsi="Brandon Grotesque Regular"/>
        </w:rPr>
        <w:t xml:space="preserve">hile the court </w:t>
      </w:r>
      <w:r w:rsidR="3713FD29" w:rsidRPr="00141E09">
        <w:rPr>
          <w:rFonts w:ascii="Brandon Grotesque Regular" w:hAnsi="Brandon Grotesque Regular"/>
        </w:rPr>
        <w:t>largely leaned</w:t>
      </w:r>
      <w:r w:rsidR="5A4C2C75" w:rsidRPr="00141E09">
        <w:rPr>
          <w:rFonts w:ascii="Brandon Grotesque Regular" w:hAnsi="Brandon Grotesque Regular"/>
        </w:rPr>
        <w:t xml:space="preserve"> toward strong protections </w:t>
      </w:r>
      <w:r w:rsidR="232BE183" w:rsidRPr="00141E09">
        <w:rPr>
          <w:rFonts w:ascii="Brandon Grotesque Regular" w:hAnsi="Brandon Grotesque Regular"/>
        </w:rPr>
        <w:t xml:space="preserve">for religious freedom, </w:t>
      </w:r>
      <w:proofErr w:type="gramStart"/>
      <w:r w:rsidR="232BE183" w:rsidRPr="00141E09">
        <w:rPr>
          <w:rFonts w:ascii="Brandon Grotesque Regular" w:hAnsi="Brandon Grotesque Regular"/>
        </w:rPr>
        <w:t>speech</w:t>
      </w:r>
      <w:proofErr w:type="gramEnd"/>
      <w:r w:rsidR="232BE183" w:rsidRPr="00141E09">
        <w:rPr>
          <w:rFonts w:ascii="Brandon Grotesque Regular" w:hAnsi="Brandon Grotesque Regular"/>
        </w:rPr>
        <w:t xml:space="preserve"> and </w:t>
      </w:r>
      <w:r w:rsidR="44A17E95" w:rsidRPr="00141E09">
        <w:rPr>
          <w:rFonts w:ascii="Brandon Grotesque Regular" w:hAnsi="Brandon Grotesque Regular"/>
        </w:rPr>
        <w:t xml:space="preserve">assembly </w:t>
      </w:r>
      <w:r w:rsidR="5A4C2C75" w:rsidRPr="00141E09">
        <w:rPr>
          <w:rFonts w:ascii="Brandon Grotesque Regular" w:hAnsi="Brandon Grotesque Regular"/>
        </w:rPr>
        <w:t xml:space="preserve">this term, it was less </w:t>
      </w:r>
      <w:r w:rsidR="232BE183" w:rsidRPr="00141E09">
        <w:rPr>
          <w:rFonts w:ascii="Brandon Grotesque Regular" w:hAnsi="Brandon Grotesque Regular"/>
        </w:rPr>
        <w:t>decisive on press freedom.</w:t>
      </w:r>
      <w:r w:rsidR="3713FD29" w:rsidRPr="00141E09">
        <w:rPr>
          <w:rFonts w:ascii="Brandon Grotesque Regular" w:hAnsi="Brandon Grotesque Regular"/>
        </w:rPr>
        <w:t xml:space="preserve"> </w:t>
      </w:r>
      <w:r w:rsidR="1AC0E7FF" w:rsidRPr="00141E09">
        <w:rPr>
          <w:rFonts w:ascii="Brandon Grotesque Regular" w:hAnsi="Brandon Grotesque Regular"/>
        </w:rPr>
        <w:t>A</w:t>
      </w:r>
      <w:r w:rsidR="62FE1936" w:rsidRPr="00141E09">
        <w:rPr>
          <w:rFonts w:ascii="Brandon Grotesque Regular" w:hAnsi="Brandon Grotesque Regular"/>
        </w:rPr>
        <w:t>nd a</w:t>
      </w:r>
      <w:r w:rsidR="1AC0E7FF" w:rsidRPr="00141E09">
        <w:rPr>
          <w:rFonts w:ascii="Brandon Grotesque Regular" w:hAnsi="Brandon Grotesque Regular"/>
        </w:rPr>
        <w:t xml:space="preserve">s with many Supreme Court findings, the </w:t>
      </w:r>
      <w:r w:rsidR="306EEFFF" w:rsidRPr="00141E09">
        <w:rPr>
          <w:rFonts w:ascii="Brandon Grotesque Regular" w:hAnsi="Brandon Grotesque Regular"/>
        </w:rPr>
        <w:t xml:space="preserve">cases this term answered several key First Amendment </w:t>
      </w:r>
      <w:proofErr w:type="gramStart"/>
      <w:r w:rsidR="306EEFFF" w:rsidRPr="00141E09">
        <w:rPr>
          <w:rFonts w:ascii="Brandon Grotesque Regular" w:hAnsi="Brandon Grotesque Regular"/>
        </w:rPr>
        <w:t>questions</w:t>
      </w:r>
      <w:r w:rsidR="0039007F" w:rsidRPr="00141E09">
        <w:rPr>
          <w:rFonts w:ascii="Brandon Grotesque Regular" w:hAnsi="Brandon Grotesque Regular"/>
        </w:rPr>
        <w:t>,</w:t>
      </w:r>
      <w:r w:rsidR="306EEFFF" w:rsidRPr="00141E09">
        <w:rPr>
          <w:rFonts w:ascii="Brandon Grotesque Regular" w:hAnsi="Brandon Grotesque Regular"/>
        </w:rPr>
        <w:t xml:space="preserve"> but</w:t>
      </w:r>
      <w:proofErr w:type="gramEnd"/>
      <w:r w:rsidR="306EEFFF" w:rsidRPr="00141E09">
        <w:rPr>
          <w:rFonts w:ascii="Brandon Grotesque Regular" w:hAnsi="Brandon Grotesque Regular"/>
        </w:rPr>
        <w:t xml:space="preserve"> raised</w:t>
      </w:r>
      <w:r w:rsidR="62FE1936" w:rsidRPr="00141E09">
        <w:rPr>
          <w:rFonts w:ascii="Brandon Grotesque Regular" w:hAnsi="Brandon Grotesque Regular"/>
        </w:rPr>
        <w:t xml:space="preserve"> </w:t>
      </w:r>
      <w:r w:rsidR="306EEFFF" w:rsidRPr="00141E09">
        <w:rPr>
          <w:rFonts w:ascii="Brandon Grotesque Regular" w:hAnsi="Brandon Grotesque Regular"/>
        </w:rPr>
        <w:t>others</w:t>
      </w:r>
      <w:r w:rsidR="2CBBF3A7" w:rsidRPr="00141E09">
        <w:rPr>
          <w:rFonts w:ascii="Brandon Grotesque Regular" w:hAnsi="Brandon Grotesque Regular"/>
        </w:rPr>
        <w:t>.</w:t>
      </w:r>
    </w:p>
    <w:p w14:paraId="3B23F5A6" w14:textId="3CF71494" w:rsidR="007D3A20" w:rsidRPr="00141E09" w:rsidRDefault="00AC56D0" w:rsidP="00141E09">
      <w:pPr>
        <w:pBdr>
          <w:bottom w:val="single" w:sz="12" w:space="31" w:color="auto"/>
        </w:pBdr>
        <w:spacing w:line="254" w:lineRule="auto"/>
        <w:rPr>
          <w:rFonts w:ascii="Brandon Grotesque Regular" w:hAnsi="Brandon Grotesque Regular" w:cstheme="minorHAnsi"/>
        </w:rPr>
      </w:pPr>
      <w:r w:rsidRPr="00141E09">
        <w:rPr>
          <w:rFonts w:ascii="Brandon Grotesque Regular" w:hAnsi="Brandon Grotesque Regular" w:cstheme="minorHAnsi"/>
          <w:i/>
          <w:iCs/>
        </w:rPr>
        <w:t xml:space="preserve">Gene Policinski is Freedom Forum </w:t>
      </w:r>
      <w:r w:rsidR="009B4B1F" w:rsidRPr="00141E09">
        <w:rPr>
          <w:rFonts w:ascii="Brandon Grotesque Regular" w:hAnsi="Brandon Grotesque Regular" w:cstheme="minorHAnsi"/>
          <w:i/>
          <w:iCs/>
        </w:rPr>
        <w:t>s</w:t>
      </w:r>
      <w:r w:rsidRPr="00141E09">
        <w:rPr>
          <w:rFonts w:ascii="Brandon Grotesque Regular" w:hAnsi="Brandon Grotesque Regular" w:cstheme="minorHAnsi"/>
          <w:i/>
          <w:iCs/>
        </w:rPr>
        <w:t xml:space="preserve">enior </w:t>
      </w:r>
      <w:r w:rsidR="009B4B1F" w:rsidRPr="00141E09">
        <w:rPr>
          <w:rFonts w:ascii="Brandon Grotesque Regular" w:hAnsi="Brandon Grotesque Regular" w:cstheme="minorHAnsi"/>
          <w:i/>
          <w:iCs/>
        </w:rPr>
        <w:t>f</w:t>
      </w:r>
      <w:r w:rsidRPr="00141E09">
        <w:rPr>
          <w:rFonts w:ascii="Brandon Grotesque Regular" w:hAnsi="Brandon Grotesque Regular" w:cstheme="minorHAnsi"/>
          <w:i/>
          <w:iCs/>
        </w:rPr>
        <w:t xml:space="preserve">ellow for the First Amendment. </w:t>
      </w:r>
      <w:r w:rsidR="007D3A20" w:rsidRPr="00141E09">
        <w:rPr>
          <w:rFonts w:ascii="Brandon Grotesque Regular" w:hAnsi="Brandon Grotesque Regular" w:cstheme="minorHAnsi"/>
          <w:i/>
          <w:iCs/>
        </w:rPr>
        <w:t xml:space="preserve">Reach </w:t>
      </w:r>
      <w:r w:rsidRPr="00141E09">
        <w:rPr>
          <w:rFonts w:ascii="Brandon Grotesque Regular" w:hAnsi="Brandon Grotesque Regular" w:cstheme="minorHAnsi"/>
          <w:i/>
          <w:iCs/>
        </w:rPr>
        <w:t>him</w:t>
      </w:r>
      <w:r w:rsidR="007D3A20" w:rsidRPr="00141E09">
        <w:rPr>
          <w:rFonts w:ascii="Brandon Grotesque Regular" w:hAnsi="Brandon Grotesque Regular" w:cstheme="minorHAnsi"/>
          <w:i/>
          <w:iCs/>
        </w:rPr>
        <w:t xml:space="preserve"> </w:t>
      </w:r>
      <w:r w:rsidR="00F41824" w:rsidRPr="00141E09">
        <w:rPr>
          <w:rFonts w:ascii="Brandon Grotesque Regular" w:hAnsi="Brandon Grotesque Regular" w:cstheme="minorHAnsi"/>
          <w:i/>
          <w:iCs/>
        </w:rPr>
        <w:t>at</w:t>
      </w:r>
      <w:r w:rsidR="00F41824" w:rsidRPr="00141E09">
        <w:rPr>
          <w:rFonts w:ascii="Arial" w:hAnsi="Arial" w:cs="Arial"/>
          <w:i/>
          <w:iCs/>
        </w:rPr>
        <w:t> </w:t>
      </w:r>
      <w:hyperlink r:id="rId18" w:tgtFrame="_blank" w:history="1">
        <w:r w:rsidR="00F41824" w:rsidRPr="00141E09">
          <w:rPr>
            <w:rStyle w:val="Hyperlink"/>
            <w:rFonts w:ascii="Brandon Grotesque Regular" w:hAnsi="Brandon Grotesque Regular" w:cstheme="minorHAnsi"/>
            <w:i/>
            <w:iCs/>
          </w:rPr>
          <w:t>gpolicinski@freedomforum.org</w:t>
        </w:r>
      </w:hyperlink>
      <w:r w:rsidR="009F1061" w:rsidRPr="00141E09">
        <w:rPr>
          <w:rFonts w:ascii="Brandon Grotesque Regular" w:hAnsi="Brandon Grotesque Regular" w:cstheme="minorHAnsi"/>
          <w:i/>
          <w:iCs/>
        </w:rPr>
        <w:t>.</w:t>
      </w:r>
      <w:r w:rsidR="007D3A20" w:rsidRPr="00141E09">
        <w:rPr>
          <w:rFonts w:ascii="Brandon Grotesque Regular" w:hAnsi="Brandon Grotesque Regular" w:cstheme="minorHAnsi"/>
          <w:i/>
          <w:iCs/>
        </w:rPr>
        <w:t xml:space="preserve"> </w:t>
      </w:r>
      <w:r w:rsidR="009F1061" w:rsidRPr="00141E09">
        <w:rPr>
          <w:rFonts w:ascii="Brandon Grotesque Regular" w:hAnsi="Brandon Grotesque Regular" w:cstheme="minorHAnsi"/>
          <w:i/>
          <w:iCs/>
        </w:rPr>
        <w:t>Tony Mauro, who has covered the U.S. Supreme Court since 1979, is contributing U.S. Supreme Court correspondent for the National Law Journal and ALM Media</w:t>
      </w:r>
      <w:r w:rsidRPr="00141E09">
        <w:rPr>
          <w:rFonts w:ascii="Brandon Grotesque Regular" w:hAnsi="Brandon Grotesque Regular" w:cstheme="minorHAnsi"/>
          <w:i/>
          <w:iCs/>
        </w:rPr>
        <w:t>.</w:t>
      </w:r>
    </w:p>
    <w:sectPr w:rsidR="007D3A20" w:rsidRPr="00141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 Gothic LT Std Cn">
    <w:altName w:val="Calibri"/>
    <w:panose1 w:val="00000000000000000000"/>
    <w:charset w:val="00"/>
    <w:family w:val="swiss"/>
    <w:notTrueType/>
    <w:pitch w:val="variable"/>
    <w:sig w:usb0="00000003" w:usb1="00000000" w:usb2="00000000" w:usb3="00000000" w:csb0="00000001"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16B3B"/>
    <w:multiLevelType w:val="hybridMultilevel"/>
    <w:tmpl w:val="A75E361C"/>
    <w:lvl w:ilvl="0" w:tplc="4D1CAC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D8"/>
    <w:rsid w:val="000065D5"/>
    <w:rsid w:val="0001244C"/>
    <w:rsid w:val="00021F29"/>
    <w:rsid w:val="000248C6"/>
    <w:rsid w:val="00027F07"/>
    <w:rsid w:val="0003548E"/>
    <w:rsid w:val="00046955"/>
    <w:rsid w:val="0005079B"/>
    <w:rsid w:val="00053696"/>
    <w:rsid w:val="0006152D"/>
    <w:rsid w:val="00097FC2"/>
    <w:rsid w:val="000A7708"/>
    <w:rsid w:val="000B1F52"/>
    <w:rsid w:val="000B2CF8"/>
    <w:rsid w:val="000C3F43"/>
    <w:rsid w:val="000D0783"/>
    <w:rsid w:val="000D081E"/>
    <w:rsid w:val="000E0D32"/>
    <w:rsid w:val="000E1FED"/>
    <w:rsid w:val="000E570C"/>
    <w:rsid w:val="000F40EB"/>
    <w:rsid w:val="000F5762"/>
    <w:rsid w:val="000F6290"/>
    <w:rsid w:val="000F760E"/>
    <w:rsid w:val="0010239D"/>
    <w:rsid w:val="00102939"/>
    <w:rsid w:val="00103754"/>
    <w:rsid w:val="00111E30"/>
    <w:rsid w:val="001127C1"/>
    <w:rsid w:val="00114E76"/>
    <w:rsid w:val="00116803"/>
    <w:rsid w:val="00116A2B"/>
    <w:rsid w:val="001241B2"/>
    <w:rsid w:val="00141E09"/>
    <w:rsid w:val="00162659"/>
    <w:rsid w:val="00165103"/>
    <w:rsid w:val="001723C4"/>
    <w:rsid w:val="0017370B"/>
    <w:rsid w:val="00174A00"/>
    <w:rsid w:val="001930E8"/>
    <w:rsid w:val="00197986"/>
    <w:rsid w:val="001B244A"/>
    <w:rsid w:val="001B3FBC"/>
    <w:rsid w:val="001C6259"/>
    <w:rsid w:val="001D63E2"/>
    <w:rsid w:val="001E3400"/>
    <w:rsid w:val="001E540C"/>
    <w:rsid w:val="001F02C1"/>
    <w:rsid w:val="002020CD"/>
    <w:rsid w:val="00212065"/>
    <w:rsid w:val="0021258F"/>
    <w:rsid w:val="002262F7"/>
    <w:rsid w:val="00257A59"/>
    <w:rsid w:val="0026050B"/>
    <w:rsid w:val="00262209"/>
    <w:rsid w:val="00265F61"/>
    <w:rsid w:val="00273BE9"/>
    <w:rsid w:val="002C11D2"/>
    <w:rsid w:val="002C15CB"/>
    <w:rsid w:val="002C1DFE"/>
    <w:rsid w:val="002D201E"/>
    <w:rsid w:val="002E2E8C"/>
    <w:rsid w:val="002F19F0"/>
    <w:rsid w:val="002F326C"/>
    <w:rsid w:val="00302DA9"/>
    <w:rsid w:val="003057C2"/>
    <w:rsid w:val="00315A9D"/>
    <w:rsid w:val="00321232"/>
    <w:rsid w:val="00330DB2"/>
    <w:rsid w:val="003341D6"/>
    <w:rsid w:val="003355AD"/>
    <w:rsid w:val="00344E33"/>
    <w:rsid w:val="00353236"/>
    <w:rsid w:val="003537E9"/>
    <w:rsid w:val="00372A7C"/>
    <w:rsid w:val="00373651"/>
    <w:rsid w:val="0038024F"/>
    <w:rsid w:val="00384F2F"/>
    <w:rsid w:val="003858CA"/>
    <w:rsid w:val="0039007F"/>
    <w:rsid w:val="003A14ED"/>
    <w:rsid w:val="003B4118"/>
    <w:rsid w:val="003C4076"/>
    <w:rsid w:val="003C51EB"/>
    <w:rsid w:val="003E71D3"/>
    <w:rsid w:val="003F0F44"/>
    <w:rsid w:val="003F21DC"/>
    <w:rsid w:val="003F69D1"/>
    <w:rsid w:val="003F7FE7"/>
    <w:rsid w:val="0041478A"/>
    <w:rsid w:val="00433F86"/>
    <w:rsid w:val="00436DD2"/>
    <w:rsid w:val="00442285"/>
    <w:rsid w:val="004479FF"/>
    <w:rsid w:val="00450F8A"/>
    <w:rsid w:val="00456E5D"/>
    <w:rsid w:val="0045714D"/>
    <w:rsid w:val="00457922"/>
    <w:rsid w:val="0046743F"/>
    <w:rsid w:val="00480333"/>
    <w:rsid w:val="00485263"/>
    <w:rsid w:val="00496754"/>
    <w:rsid w:val="00497E7B"/>
    <w:rsid w:val="004C48BA"/>
    <w:rsid w:val="004C7356"/>
    <w:rsid w:val="004D742D"/>
    <w:rsid w:val="004E1F3A"/>
    <w:rsid w:val="004E2866"/>
    <w:rsid w:val="004E4FAA"/>
    <w:rsid w:val="004F4735"/>
    <w:rsid w:val="004F76D0"/>
    <w:rsid w:val="00516988"/>
    <w:rsid w:val="00522081"/>
    <w:rsid w:val="0052666C"/>
    <w:rsid w:val="00526A9A"/>
    <w:rsid w:val="00537807"/>
    <w:rsid w:val="00561015"/>
    <w:rsid w:val="00562AFB"/>
    <w:rsid w:val="005745AD"/>
    <w:rsid w:val="00577096"/>
    <w:rsid w:val="005810E7"/>
    <w:rsid w:val="005B081F"/>
    <w:rsid w:val="005B262F"/>
    <w:rsid w:val="005B2BD7"/>
    <w:rsid w:val="005B4487"/>
    <w:rsid w:val="005C194A"/>
    <w:rsid w:val="005D0284"/>
    <w:rsid w:val="005D676C"/>
    <w:rsid w:val="005E15AE"/>
    <w:rsid w:val="006147A6"/>
    <w:rsid w:val="00615B0A"/>
    <w:rsid w:val="00643F8B"/>
    <w:rsid w:val="00652EA6"/>
    <w:rsid w:val="00665A0B"/>
    <w:rsid w:val="0067270D"/>
    <w:rsid w:val="006745E5"/>
    <w:rsid w:val="00675EA3"/>
    <w:rsid w:val="00681F3A"/>
    <w:rsid w:val="006C14A7"/>
    <w:rsid w:val="006C3386"/>
    <w:rsid w:val="006C362C"/>
    <w:rsid w:val="00702D15"/>
    <w:rsid w:val="00712CA7"/>
    <w:rsid w:val="007135AA"/>
    <w:rsid w:val="0071495C"/>
    <w:rsid w:val="00721462"/>
    <w:rsid w:val="0072599D"/>
    <w:rsid w:val="00734546"/>
    <w:rsid w:val="007515A0"/>
    <w:rsid w:val="0077008D"/>
    <w:rsid w:val="0077170F"/>
    <w:rsid w:val="00797EE3"/>
    <w:rsid w:val="007A2863"/>
    <w:rsid w:val="007C55EE"/>
    <w:rsid w:val="007C7716"/>
    <w:rsid w:val="007D201B"/>
    <w:rsid w:val="007D3A20"/>
    <w:rsid w:val="007D3D03"/>
    <w:rsid w:val="007E3C0E"/>
    <w:rsid w:val="00804278"/>
    <w:rsid w:val="008046C9"/>
    <w:rsid w:val="00804FD9"/>
    <w:rsid w:val="008143C7"/>
    <w:rsid w:val="00814948"/>
    <w:rsid w:val="00816EB5"/>
    <w:rsid w:val="00820896"/>
    <w:rsid w:val="00836188"/>
    <w:rsid w:val="00836CB0"/>
    <w:rsid w:val="008443A9"/>
    <w:rsid w:val="0084780C"/>
    <w:rsid w:val="00864A8C"/>
    <w:rsid w:val="00881396"/>
    <w:rsid w:val="008B70F2"/>
    <w:rsid w:val="008D17D2"/>
    <w:rsid w:val="008D4BC3"/>
    <w:rsid w:val="008D5862"/>
    <w:rsid w:val="008F31C3"/>
    <w:rsid w:val="008F43C3"/>
    <w:rsid w:val="008F4419"/>
    <w:rsid w:val="00907050"/>
    <w:rsid w:val="0091460D"/>
    <w:rsid w:val="009262E0"/>
    <w:rsid w:val="00937856"/>
    <w:rsid w:val="00943F88"/>
    <w:rsid w:val="00946777"/>
    <w:rsid w:val="0094678B"/>
    <w:rsid w:val="00963A1B"/>
    <w:rsid w:val="00963E9D"/>
    <w:rsid w:val="00964440"/>
    <w:rsid w:val="00972223"/>
    <w:rsid w:val="0098719D"/>
    <w:rsid w:val="00992342"/>
    <w:rsid w:val="00993605"/>
    <w:rsid w:val="009952CF"/>
    <w:rsid w:val="009A1973"/>
    <w:rsid w:val="009B0B9A"/>
    <w:rsid w:val="009B2148"/>
    <w:rsid w:val="009B3F65"/>
    <w:rsid w:val="009B4B1F"/>
    <w:rsid w:val="009C1C74"/>
    <w:rsid w:val="009C338D"/>
    <w:rsid w:val="009C4087"/>
    <w:rsid w:val="009C471B"/>
    <w:rsid w:val="009D0A71"/>
    <w:rsid w:val="009D1B00"/>
    <w:rsid w:val="009E173A"/>
    <w:rsid w:val="009F1061"/>
    <w:rsid w:val="009F567B"/>
    <w:rsid w:val="00A02409"/>
    <w:rsid w:val="00A06568"/>
    <w:rsid w:val="00A116B7"/>
    <w:rsid w:val="00A12251"/>
    <w:rsid w:val="00A122E0"/>
    <w:rsid w:val="00A12401"/>
    <w:rsid w:val="00A3052D"/>
    <w:rsid w:val="00A30C9D"/>
    <w:rsid w:val="00A33BBD"/>
    <w:rsid w:val="00A47AC8"/>
    <w:rsid w:val="00A8152C"/>
    <w:rsid w:val="00A815B0"/>
    <w:rsid w:val="00A84819"/>
    <w:rsid w:val="00A85BE5"/>
    <w:rsid w:val="00A86EE3"/>
    <w:rsid w:val="00A96B0C"/>
    <w:rsid w:val="00A97F65"/>
    <w:rsid w:val="00AA2137"/>
    <w:rsid w:val="00AA31F8"/>
    <w:rsid w:val="00AA38E9"/>
    <w:rsid w:val="00AA7690"/>
    <w:rsid w:val="00AC07D9"/>
    <w:rsid w:val="00AC10AA"/>
    <w:rsid w:val="00AC2753"/>
    <w:rsid w:val="00AC37FB"/>
    <w:rsid w:val="00AC56D0"/>
    <w:rsid w:val="00AC73A8"/>
    <w:rsid w:val="00AD7561"/>
    <w:rsid w:val="00AE77D0"/>
    <w:rsid w:val="00B1517A"/>
    <w:rsid w:val="00B21710"/>
    <w:rsid w:val="00B32AD8"/>
    <w:rsid w:val="00B33A5B"/>
    <w:rsid w:val="00B43F17"/>
    <w:rsid w:val="00B44E0C"/>
    <w:rsid w:val="00B51234"/>
    <w:rsid w:val="00B57121"/>
    <w:rsid w:val="00B63B6E"/>
    <w:rsid w:val="00B74512"/>
    <w:rsid w:val="00B74AB1"/>
    <w:rsid w:val="00B8062D"/>
    <w:rsid w:val="00B8281F"/>
    <w:rsid w:val="00B85319"/>
    <w:rsid w:val="00B868F9"/>
    <w:rsid w:val="00B9440A"/>
    <w:rsid w:val="00BA505D"/>
    <w:rsid w:val="00BB08CA"/>
    <w:rsid w:val="00BB141F"/>
    <w:rsid w:val="00BD086E"/>
    <w:rsid w:val="00BD2DA6"/>
    <w:rsid w:val="00BD4255"/>
    <w:rsid w:val="00BD490E"/>
    <w:rsid w:val="00C158D4"/>
    <w:rsid w:val="00C245AF"/>
    <w:rsid w:val="00C3034F"/>
    <w:rsid w:val="00C3735F"/>
    <w:rsid w:val="00C45113"/>
    <w:rsid w:val="00C55E0B"/>
    <w:rsid w:val="00C63E4F"/>
    <w:rsid w:val="00C652C4"/>
    <w:rsid w:val="00C72AB0"/>
    <w:rsid w:val="00C83371"/>
    <w:rsid w:val="00CA6B83"/>
    <w:rsid w:val="00CB6B3A"/>
    <w:rsid w:val="00CC42AD"/>
    <w:rsid w:val="00CC6032"/>
    <w:rsid w:val="00CC6373"/>
    <w:rsid w:val="00CE7635"/>
    <w:rsid w:val="00CF1C38"/>
    <w:rsid w:val="00CF4444"/>
    <w:rsid w:val="00D112DE"/>
    <w:rsid w:val="00D12D5F"/>
    <w:rsid w:val="00D138E0"/>
    <w:rsid w:val="00D21FDE"/>
    <w:rsid w:val="00D31CD1"/>
    <w:rsid w:val="00D36396"/>
    <w:rsid w:val="00D5172F"/>
    <w:rsid w:val="00D5270B"/>
    <w:rsid w:val="00D61718"/>
    <w:rsid w:val="00D631C9"/>
    <w:rsid w:val="00D635F4"/>
    <w:rsid w:val="00D63662"/>
    <w:rsid w:val="00D643ED"/>
    <w:rsid w:val="00D66FD6"/>
    <w:rsid w:val="00D71F04"/>
    <w:rsid w:val="00D816B0"/>
    <w:rsid w:val="00D91CA1"/>
    <w:rsid w:val="00D926A0"/>
    <w:rsid w:val="00D97811"/>
    <w:rsid w:val="00DA60DF"/>
    <w:rsid w:val="00DB453C"/>
    <w:rsid w:val="00DB4AEF"/>
    <w:rsid w:val="00DB6084"/>
    <w:rsid w:val="00DC7AC1"/>
    <w:rsid w:val="00DD299F"/>
    <w:rsid w:val="00DE02CD"/>
    <w:rsid w:val="00DE1ECF"/>
    <w:rsid w:val="00DE4645"/>
    <w:rsid w:val="00DE71C6"/>
    <w:rsid w:val="00DF7334"/>
    <w:rsid w:val="00E040C5"/>
    <w:rsid w:val="00E05E09"/>
    <w:rsid w:val="00E06DA4"/>
    <w:rsid w:val="00E30B03"/>
    <w:rsid w:val="00E43109"/>
    <w:rsid w:val="00E54C2F"/>
    <w:rsid w:val="00E55488"/>
    <w:rsid w:val="00E5601A"/>
    <w:rsid w:val="00E575DD"/>
    <w:rsid w:val="00E57B6C"/>
    <w:rsid w:val="00E60D99"/>
    <w:rsid w:val="00E61CAE"/>
    <w:rsid w:val="00E758F0"/>
    <w:rsid w:val="00E81AC8"/>
    <w:rsid w:val="00E854C3"/>
    <w:rsid w:val="00E86046"/>
    <w:rsid w:val="00E966C2"/>
    <w:rsid w:val="00E9700B"/>
    <w:rsid w:val="00EA1A4A"/>
    <w:rsid w:val="00EA1AB5"/>
    <w:rsid w:val="00EB40EF"/>
    <w:rsid w:val="00ED3486"/>
    <w:rsid w:val="00ED50B7"/>
    <w:rsid w:val="00ED5CBC"/>
    <w:rsid w:val="00F00C68"/>
    <w:rsid w:val="00F2074D"/>
    <w:rsid w:val="00F2323E"/>
    <w:rsid w:val="00F23C54"/>
    <w:rsid w:val="00F27FCA"/>
    <w:rsid w:val="00F32AF0"/>
    <w:rsid w:val="00F35DBA"/>
    <w:rsid w:val="00F4130A"/>
    <w:rsid w:val="00F41824"/>
    <w:rsid w:val="00F41AF9"/>
    <w:rsid w:val="00F54762"/>
    <w:rsid w:val="00F55CA8"/>
    <w:rsid w:val="00F675CD"/>
    <w:rsid w:val="00F72D74"/>
    <w:rsid w:val="00F803CE"/>
    <w:rsid w:val="00F9028C"/>
    <w:rsid w:val="00FB07CE"/>
    <w:rsid w:val="00FB0ABC"/>
    <w:rsid w:val="00FC79E8"/>
    <w:rsid w:val="00FD4D65"/>
    <w:rsid w:val="00FD67C1"/>
    <w:rsid w:val="00FE3AD5"/>
    <w:rsid w:val="00FE5095"/>
    <w:rsid w:val="00FE65DF"/>
    <w:rsid w:val="016A47A9"/>
    <w:rsid w:val="0E2F3DAD"/>
    <w:rsid w:val="0FCADB3D"/>
    <w:rsid w:val="13C057CB"/>
    <w:rsid w:val="1AC0E7FF"/>
    <w:rsid w:val="1E5B947C"/>
    <w:rsid w:val="1ED57578"/>
    <w:rsid w:val="232BE183"/>
    <w:rsid w:val="2CBBF3A7"/>
    <w:rsid w:val="302ADEE9"/>
    <w:rsid w:val="306EEFFF"/>
    <w:rsid w:val="3713FD29"/>
    <w:rsid w:val="3C9A7E80"/>
    <w:rsid w:val="44A17E95"/>
    <w:rsid w:val="45ABDDE5"/>
    <w:rsid w:val="4A6DE160"/>
    <w:rsid w:val="4F516A58"/>
    <w:rsid w:val="522D0BEA"/>
    <w:rsid w:val="59913F51"/>
    <w:rsid w:val="5A4C2C75"/>
    <w:rsid w:val="5A74F562"/>
    <w:rsid w:val="5B3C1F7A"/>
    <w:rsid w:val="62FE1936"/>
    <w:rsid w:val="6A12CBC7"/>
    <w:rsid w:val="6AF5CCA3"/>
    <w:rsid w:val="6FDFF42A"/>
    <w:rsid w:val="70EEE155"/>
    <w:rsid w:val="752BB2B2"/>
    <w:rsid w:val="78B6D093"/>
    <w:rsid w:val="7CE35558"/>
    <w:rsid w:val="7DFB9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A51E"/>
  <w15:chartTrackingRefBased/>
  <w15:docId w15:val="{A475707E-C73B-41B3-81E8-035AF845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AD8"/>
    <w:pPr>
      <w:ind w:left="720"/>
      <w:contextualSpacing/>
    </w:pPr>
  </w:style>
  <w:style w:type="character" w:styleId="Hyperlink">
    <w:name w:val="Hyperlink"/>
    <w:basedOn w:val="DefaultParagraphFont"/>
    <w:uiPriority w:val="99"/>
    <w:unhideWhenUsed/>
    <w:rsid w:val="00B32AD8"/>
    <w:rPr>
      <w:color w:val="0000FF"/>
      <w:u w:val="single"/>
    </w:rPr>
  </w:style>
  <w:style w:type="character" w:customStyle="1" w:styleId="nytg-conserv">
    <w:name w:val="nytg-conserv"/>
    <w:basedOn w:val="DefaultParagraphFont"/>
    <w:rsid w:val="00B32AD8"/>
  </w:style>
  <w:style w:type="character" w:customStyle="1" w:styleId="nytg-liberal">
    <w:name w:val="nytg-liberal"/>
    <w:basedOn w:val="DefaultParagraphFont"/>
    <w:rsid w:val="006C3386"/>
  </w:style>
  <w:style w:type="paragraph" w:customStyle="1" w:styleId="case-text">
    <w:name w:val="case-text"/>
    <w:basedOn w:val="Normal"/>
    <w:rsid w:val="007E3C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vote">
    <w:name w:val="case-vote"/>
    <w:basedOn w:val="Normal"/>
    <w:rsid w:val="007E3C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8719D"/>
    <w:rPr>
      <w:color w:val="954F72" w:themeColor="followedHyperlink"/>
      <w:u w:val="single"/>
    </w:rPr>
  </w:style>
  <w:style w:type="character" w:styleId="Emphasis">
    <w:name w:val="Emphasis"/>
    <w:basedOn w:val="DefaultParagraphFont"/>
    <w:uiPriority w:val="20"/>
    <w:qFormat/>
    <w:rsid w:val="00B85319"/>
    <w:rPr>
      <w:i/>
      <w:iCs/>
    </w:rPr>
  </w:style>
  <w:style w:type="character" w:styleId="CommentReference">
    <w:name w:val="annotation reference"/>
    <w:basedOn w:val="DefaultParagraphFont"/>
    <w:uiPriority w:val="99"/>
    <w:semiHidden/>
    <w:unhideWhenUsed/>
    <w:rsid w:val="00497E7B"/>
    <w:rPr>
      <w:sz w:val="16"/>
      <w:szCs w:val="16"/>
    </w:rPr>
  </w:style>
  <w:style w:type="paragraph" w:styleId="CommentText">
    <w:name w:val="annotation text"/>
    <w:basedOn w:val="Normal"/>
    <w:link w:val="CommentTextChar"/>
    <w:uiPriority w:val="99"/>
    <w:unhideWhenUsed/>
    <w:rsid w:val="00497E7B"/>
    <w:pPr>
      <w:spacing w:line="240" w:lineRule="auto"/>
    </w:pPr>
    <w:rPr>
      <w:sz w:val="20"/>
      <w:szCs w:val="20"/>
    </w:rPr>
  </w:style>
  <w:style w:type="character" w:customStyle="1" w:styleId="CommentTextChar">
    <w:name w:val="Comment Text Char"/>
    <w:basedOn w:val="DefaultParagraphFont"/>
    <w:link w:val="CommentText"/>
    <w:uiPriority w:val="99"/>
    <w:rsid w:val="00497E7B"/>
    <w:rPr>
      <w:sz w:val="20"/>
      <w:szCs w:val="20"/>
    </w:rPr>
  </w:style>
  <w:style w:type="paragraph" w:styleId="CommentSubject">
    <w:name w:val="annotation subject"/>
    <w:basedOn w:val="CommentText"/>
    <w:next w:val="CommentText"/>
    <w:link w:val="CommentSubjectChar"/>
    <w:uiPriority w:val="99"/>
    <w:semiHidden/>
    <w:unhideWhenUsed/>
    <w:rsid w:val="00497E7B"/>
    <w:rPr>
      <w:b/>
      <w:bCs/>
    </w:rPr>
  </w:style>
  <w:style w:type="character" w:customStyle="1" w:styleId="CommentSubjectChar">
    <w:name w:val="Comment Subject Char"/>
    <w:basedOn w:val="CommentTextChar"/>
    <w:link w:val="CommentSubject"/>
    <w:uiPriority w:val="99"/>
    <w:semiHidden/>
    <w:rsid w:val="00497E7B"/>
    <w:rPr>
      <w:b/>
      <w:bCs/>
      <w:sz w:val="20"/>
      <w:szCs w:val="20"/>
    </w:rPr>
  </w:style>
  <w:style w:type="character" w:styleId="UnresolvedMention">
    <w:name w:val="Unresolved Mention"/>
    <w:basedOn w:val="DefaultParagraphFont"/>
    <w:uiPriority w:val="99"/>
    <w:semiHidden/>
    <w:unhideWhenUsed/>
    <w:rsid w:val="0049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63228">
      <w:bodyDiv w:val="1"/>
      <w:marLeft w:val="0"/>
      <w:marRight w:val="0"/>
      <w:marTop w:val="0"/>
      <w:marBottom w:val="0"/>
      <w:divBdr>
        <w:top w:val="none" w:sz="0" w:space="0" w:color="auto"/>
        <w:left w:val="none" w:sz="0" w:space="0" w:color="auto"/>
        <w:bottom w:val="none" w:sz="0" w:space="0" w:color="auto"/>
        <w:right w:val="none" w:sz="0" w:space="0" w:color="auto"/>
      </w:divBdr>
    </w:div>
    <w:div w:id="1073548532">
      <w:bodyDiv w:val="1"/>
      <w:marLeft w:val="0"/>
      <w:marRight w:val="0"/>
      <w:marTop w:val="0"/>
      <w:marBottom w:val="0"/>
      <w:divBdr>
        <w:top w:val="none" w:sz="0" w:space="0" w:color="auto"/>
        <w:left w:val="none" w:sz="0" w:space="0" w:color="auto"/>
        <w:bottom w:val="none" w:sz="0" w:space="0" w:color="auto"/>
        <w:right w:val="none" w:sz="0" w:space="0" w:color="auto"/>
      </w:divBdr>
    </w:div>
    <w:div w:id="1291091259">
      <w:bodyDiv w:val="1"/>
      <w:marLeft w:val="0"/>
      <w:marRight w:val="0"/>
      <w:marTop w:val="0"/>
      <w:marBottom w:val="0"/>
      <w:divBdr>
        <w:top w:val="none" w:sz="0" w:space="0" w:color="auto"/>
        <w:left w:val="none" w:sz="0" w:space="0" w:color="auto"/>
        <w:bottom w:val="none" w:sz="0" w:space="0" w:color="auto"/>
        <w:right w:val="none" w:sz="0" w:space="0" w:color="auto"/>
      </w:divBdr>
      <w:divsChild>
        <w:div w:id="296645438">
          <w:marLeft w:val="0"/>
          <w:marRight w:val="0"/>
          <w:marTop w:val="0"/>
          <w:marBottom w:val="0"/>
          <w:divBdr>
            <w:top w:val="none" w:sz="0" w:space="0" w:color="auto"/>
            <w:left w:val="none" w:sz="0" w:space="0" w:color="auto"/>
            <w:bottom w:val="none" w:sz="0" w:space="0" w:color="auto"/>
            <w:right w:val="none" w:sz="0" w:space="0" w:color="auto"/>
          </w:divBdr>
          <w:divsChild>
            <w:div w:id="57631111">
              <w:marLeft w:val="0"/>
              <w:marRight w:val="450"/>
              <w:marTop w:val="0"/>
              <w:marBottom w:val="0"/>
              <w:divBdr>
                <w:top w:val="none" w:sz="0" w:space="0" w:color="auto"/>
                <w:left w:val="none" w:sz="0" w:space="0" w:color="auto"/>
                <w:bottom w:val="none" w:sz="0" w:space="0" w:color="auto"/>
                <w:right w:val="none" w:sz="0" w:space="0" w:color="auto"/>
              </w:divBdr>
            </w:div>
          </w:divsChild>
        </w:div>
        <w:div w:id="203746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eedomforuminstitute.org/2019/01/30/tinker-after-50-a-historic-ruling-still-relevant-after-all-these-years/" TargetMode="External"/><Relationship Id="rId18" Type="http://schemas.openxmlformats.org/officeDocument/2006/relationships/hyperlink" Target="mailto:gpolicinski@freedomfor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eedomforum.org/2021/02/17/cheerleaders-snapchat-rant-tests-students-free-speech-rights/" TargetMode="External"/><Relationship Id="rId17" Type="http://schemas.openxmlformats.org/officeDocument/2006/relationships/hyperlink" Target="https://www.freedomforum.org/2021/04/19/news-supreme-court-to-tackle-a-rare-first-amendment-test-of-freedom-of-association/" TargetMode="External"/><Relationship Id="rId2" Type="http://schemas.openxmlformats.org/officeDocument/2006/relationships/customXml" Target="../customXml/item2.xml"/><Relationship Id="rId16" Type="http://schemas.openxmlformats.org/officeDocument/2006/relationships/hyperlink" Target="https://www.freedomforum.org/2021/06/09/perspective-is-the-supreme-court-still-a-defender-of-press-freed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remecourt.gov/opinions/20pdf/20a87_4g15.pdf" TargetMode="External"/><Relationship Id="rId5" Type="http://schemas.openxmlformats.org/officeDocument/2006/relationships/numbering" Target="numbering.xml"/><Relationship Id="rId15" Type="http://schemas.openxmlformats.org/officeDocument/2006/relationships/hyperlink" Target="https://www.freedomforuminstitute.org/2019/12/16/a-profound-national-commitment-to-robust-debate/" TargetMode="External"/><Relationship Id="rId10" Type="http://schemas.openxmlformats.org/officeDocument/2006/relationships/hyperlink" Target="https://www.freedomforum.org/2021/06/23/perspective-supreme-court-case-goes-beyond-lgbtq-versus-catholic-right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ytimes.com/2021/06/17/us/supreme-court-gay-rights-foster-care.html" TargetMode="External"/><Relationship Id="rId14" Type="http://schemas.openxmlformats.org/officeDocument/2006/relationships/hyperlink" Target="https://www.freedomforum.org/2021/06/30/perspective-students-parents-and-free-speech-win-in-cheerleading-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BBDBA77A44124882D8239666EA3D5C" ma:contentTypeVersion="12" ma:contentTypeDescription="Create a new document." ma:contentTypeScope="" ma:versionID="37dd47a04d2303f59d5522a33b767199">
  <xsd:schema xmlns:xsd="http://www.w3.org/2001/XMLSchema" xmlns:xs="http://www.w3.org/2001/XMLSchema" xmlns:p="http://schemas.microsoft.com/office/2006/metadata/properties" xmlns:ns2="47529620-9f4b-4266-b761-deaeba84e81b" xmlns:ns3="53b45773-6690-4850-ac31-481b3840fd28" targetNamespace="http://schemas.microsoft.com/office/2006/metadata/properties" ma:root="true" ma:fieldsID="1193313c5a33f730bbb519a1ad482c91" ns2:_="" ns3:_="">
    <xsd:import namespace="47529620-9f4b-4266-b761-deaeba84e81b"/>
    <xsd:import namespace="53b45773-6690-4850-ac31-481b3840f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29620-9f4b-4266-b761-deaeba84e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b45773-6690-4850-ac31-481b3840fd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6FA12-9F9B-40C7-8149-D9F32B6C1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77CB2B-6549-42FA-9AC7-8D2E9CF83FAB}">
  <ds:schemaRefs>
    <ds:schemaRef ds:uri="http://schemas.openxmlformats.org/officeDocument/2006/bibliography"/>
  </ds:schemaRefs>
</ds:datastoreItem>
</file>

<file path=customXml/itemProps3.xml><?xml version="1.0" encoding="utf-8"?>
<ds:datastoreItem xmlns:ds="http://schemas.openxmlformats.org/officeDocument/2006/customXml" ds:itemID="{C1613A12-6598-403A-BC3C-1AA820FC3BE6}">
  <ds:schemaRefs>
    <ds:schemaRef ds:uri="http://schemas.microsoft.com/sharepoint/v3/contenttype/forms"/>
  </ds:schemaRefs>
</ds:datastoreItem>
</file>

<file path=customXml/itemProps4.xml><?xml version="1.0" encoding="utf-8"?>
<ds:datastoreItem xmlns:ds="http://schemas.openxmlformats.org/officeDocument/2006/customXml" ds:itemID="{C232A004-48AC-4746-9953-6823B832D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29620-9f4b-4266-b761-deaeba84e81b"/>
    <ds:schemaRef ds:uri="53b45773-6690-4850-ac31-481b3840f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Powell</dc:creator>
  <cp:keywords/>
  <dc:description/>
  <cp:lastModifiedBy>Lynne Lance</cp:lastModifiedBy>
  <cp:revision>2</cp:revision>
  <dcterms:created xsi:type="dcterms:W3CDTF">2021-07-15T14:01:00Z</dcterms:created>
  <dcterms:modified xsi:type="dcterms:W3CDTF">2021-07-15T14:01:00Z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0x0101002EBBDBA77A44124882D8239666EA3D5C</vt:lpwstr>
  </property>
</Properties>
</file>